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2889885</wp:posOffset>
            </wp:positionH>
            <wp:positionV relativeFrom="paragraph">
              <wp:posOffset>-1905</wp:posOffset>
            </wp:positionV>
            <wp:extent cx="647065" cy="799465"/>
            <wp:effectExtent b="0" l="0" r="0" t="0"/>
            <wp:wrapSquare distB="0" distL="114935" distR="114935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065" cy="7994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</w:rPr>
        <w:t xml:space="preserve">  </w:t>
      </w: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5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5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СОСНОВСКОЕ СЕЛЬСКОЕ ПОСЕЛЕНИЕ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ПРИОЗЕРСКОГО МУНИЦИПАЛЬНОГО РАЙОНА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ЛЕНИНГРАДСКОЙ ОБЛАСТИ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shd w:fill="FFD821" w:val="clear"/>
        </w:rPr>
      </w:pPr>
    </w:p>
    <w:p w14:paraId="0D000000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от 28 апреля </w:t>
      </w:r>
      <w:r>
        <w:rPr>
          <w:rFonts w:ascii="Times New Roman" w:hAnsi="Times New Roman"/>
          <w:sz w:val="24"/>
        </w:rPr>
        <w:t>2026 года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№ 291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962"/>
      </w:tblGrid>
      <w:tr>
        <w:trPr>
          <w:trHeight w:hRule="atLeast" w:val="1694"/>
        </w:trPr>
        <w:tc>
          <w:tcPr>
            <w:tcW w:type="dxa" w:w="4962"/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и дополнений в постановление администрации от 01.03.2024 г. № 68 «Об утверждении муниципальной программы «Благоустройство территории муниципального образования Сосновское сельское поселение на 2025-2030 годы»» </w:t>
            </w:r>
          </w:p>
        </w:tc>
      </w:tr>
    </w:tbl>
    <w:p w14:paraId="10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1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В соответствии с Федеральным законом от 06.10.2003г. № 131-ФЗ «Об общих принципах организации местного самоуправления в РФ», Областным законом от 24.06.2014г. № 48-ОЗ «Об отдельных вопросах местного значения сельских поселений Ленинградской области» (с изменениями), Постановлением администрации муниципального образования Сосновское сельское поселение от 17.12.2021 г. № 502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области», в целях повышения уровня благоустроенности поселения и улучшения жизни населения Сосновского сельского поселения, администрация Сосновское сельское поселение </w:t>
      </w:r>
      <w:r>
        <w:rPr>
          <w:rFonts w:ascii="Times New Roman" w:hAnsi="Times New Roman"/>
          <w:b w:val="1"/>
          <w:sz w:val="24"/>
        </w:rPr>
        <w:t>ПОСТАНОВЛЯЕТ:</w:t>
      </w:r>
    </w:p>
    <w:p w14:paraId="12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3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Внести </w:t>
      </w:r>
      <w:r>
        <w:rPr>
          <w:rFonts w:ascii="Times New Roman" w:hAnsi="Times New Roman"/>
          <w:sz w:val="24"/>
        </w:rPr>
        <w:t>изменения и дополнения в муниципальную программу «Благоустройство территории муниципального образования Сосновское сельское поселение на 2025-2030 годы», утвержденную постановлением администрации Сосновское сельское поселение Приозерского муниципального района Ленинградской области от 01.03.2024 г. № 68 и читать в редакции в соответствии с приложением к настоящему постановлению</w:t>
      </w:r>
      <w:r>
        <w:rPr>
          <w:rFonts w:ascii="Times New Roman" w:hAnsi="Times New Roman"/>
          <w:sz w:val="24"/>
        </w:rPr>
        <w:t>.</w:t>
      </w:r>
    </w:p>
    <w:p w14:paraId="14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Разместить</w:t>
      </w:r>
      <w:r>
        <w:rPr>
          <w:rStyle w:val="Style_3_ch"/>
          <w:rFonts w:ascii="Times New Roman" w:hAnsi="Times New Roman"/>
          <w:sz w:val="24"/>
        </w:rPr>
        <w:t xml:space="preserve"> настоящее постановление на  сайте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"https://sosnovskoe-r41.gosweb.gosuslugi.ru/" \o "https://sosnovskoe-r41.gosweb.gosuslugi.ru/"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sosnovskoe-r41.gosweb.gosuslugi.ru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Style w:val="Style_3_ch"/>
          <w:rFonts w:ascii="Times New Roman" w:hAnsi="Times New Roman"/>
          <w:sz w:val="24"/>
        </w:rPr>
        <w:t>.</w:t>
      </w:r>
    </w:p>
    <w:p w14:paraId="15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Настоящее постановление вступает в силу с момента его официального опубликования.</w:t>
      </w:r>
    </w:p>
    <w:p w14:paraId="16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Контроль за исполнением настоящего постановления оставляю за собой.</w:t>
      </w:r>
    </w:p>
    <w:p w14:paraId="17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8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главы администрации                                                                                                 М.С. Ролдуга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Разослано: дело – 2, Прокуратура – 1, КФ – 1, КСО -1</w:t>
      </w:r>
    </w:p>
    <w:p w14:paraId="28000000">
      <w:pPr>
        <w:spacing w:after="0" w:line="360" w:lineRule="auto"/>
        <w:ind/>
        <w:rPr>
          <w:rFonts w:ascii="Times New Roman" w:hAnsi="Times New Roman"/>
          <w:sz w:val="18"/>
        </w:rPr>
      </w:pPr>
    </w:p>
    <w:p w14:paraId="29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Исп.: Ролдуга М.С.</w:t>
      </w:r>
    </w:p>
    <w:p w14:paraId="2A000000">
      <w:pPr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Тел. (8-813-79) 61-382 </w:t>
      </w:r>
    </w:p>
    <w:p w14:paraId="2B000000">
      <w:pPr>
        <w:spacing w:after="0" w:line="360" w:lineRule="auto"/>
        <w:ind/>
        <w:rPr>
          <w:rFonts w:ascii="Times New Roman" w:hAnsi="Times New Roman"/>
          <w:sz w:val="20"/>
        </w:rPr>
      </w:pPr>
    </w:p>
    <w:p w14:paraId="2C000000">
      <w:pPr>
        <w:pStyle w:val="Style_4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</w:p>
    <w:p w14:paraId="2D000000">
      <w:pPr>
        <w:pStyle w:val="Style_4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Постановлению администрации</w:t>
      </w:r>
    </w:p>
    <w:p w14:paraId="2E000000">
      <w:pPr>
        <w:pStyle w:val="Style_4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Сосновское сельское поселение</w:t>
      </w:r>
    </w:p>
    <w:p w14:paraId="2F000000">
      <w:pPr>
        <w:pStyle w:val="Style_4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Приозерский муниципальный район</w:t>
      </w:r>
    </w:p>
    <w:p w14:paraId="30000000">
      <w:pPr>
        <w:pStyle w:val="Style_4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Ленинградской области</w:t>
      </w:r>
    </w:p>
    <w:p w14:paraId="31000000">
      <w:pPr>
        <w:spacing w:after="0" w:line="240" w:lineRule="auto"/>
        <w:ind/>
        <w:rPr>
          <w:rFonts w:ascii="Times New Roman" w:hAnsi="Times New Roman"/>
          <w:sz w:val="20"/>
          <w:shd w:fill="FFD821" w:val="clear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>от 28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04</w:t>
      </w:r>
      <w:r>
        <w:rPr>
          <w:rFonts w:ascii="Times New Roman" w:hAnsi="Times New Roman"/>
          <w:sz w:val="20"/>
        </w:rPr>
        <w:t>.2026 г. №</w:t>
      </w:r>
      <w:r>
        <w:rPr>
          <w:rFonts w:ascii="Times New Roman" w:hAnsi="Times New Roman"/>
          <w:sz w:val="20"/>
        </w:rPr>
        <w:t xml:space="preserve"> 291</w:t>
      </w:r>
    </w:p>
    <w:p w14:paraId="32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35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7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9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</w:t>
      </w:r>
    </w:p>
    <w:p w14:paraId="3A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«Благоустройство территории муниципального образования </w:t>
      </w:r>
    </w:p>
    <w:p w14:paraId="3B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Сосновское сельское поселение на 2025-2030 годы»</w:t>
      </w:r>
    </w:p>
    <w:p w14:paraId="3C000000">
      <w:pPr>
        <w:spacing w:after="0" w:beforeAutospacing="on" w:line="240" w:lineRule="auto"/>
        <w:ind/>
        <w:jc w:val="center"/>
        <w:rPr>
          <w:rFonts w:ascii="Times New Roman" w:hAnsi="Times New Roman"/>
          <w:sz w:val="24"/>
        </w:rPr>
      </w:pPr>
    </w:p>
    <w:p w14:paraId="3D000000">
      <w:pPr>
        <w:spacing w:after="0" w:beforeAutospacing="on" w:line="240" w:lineRule="auto"/>
        <w:ind/>
        <w:jc w:val="center"/>
        <w:rPr>
          <w:rFonts w:ascii="Times New Roman" w:hAnsi="Times New Roman"/>
          <w:sz w:val="24"/>
        </w:rPr>
      </w:pPr>
    </w:p>
    <w:p w14:paraId="3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8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A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B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C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</w:p>
    <w:p w14:paraId="58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исполнитель программы: </w:t>
      </w:r>
    </w:p>
    <w:p w14:paraId="5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</w:t>
      </w:r>
    </w:p>
    <w:p w14:paraId="5A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(8-813-79) 61-382 </w:t>
      </w:r>
    </w:p>
    <w:p w14:paraId="5B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эл.адрес:  </w:t>
      </w:r>
      <w:r>
        <w:rPr>
          <w:rStyle w:val="Style_5_ch"/>
          <w:rFonts w:ascii="Times New Roman" w:hAnsi="Times New Roman"/>
          <w:color w:val="000000"/>
        </w:rPr>
        <w:fldChar w:fldCharType="begin"/>
      </w:r>
      <w:r>
        <w:rPr>
          <w:rStyle w:val="Style_5_ch"/>
          <w:rFonts w:ascii="Times New Roman" w:hAnsi="Times New Roman"/>
          <w:color w:val="000000"/>
        </w:rPr>
        <w:instrText>HYPERLINK "mailto:sosnadm@mail.ru"</w:instrText>
      </w:r>
      <w:r>
        <w:rPr>
          <w:rStyle w:val="Style_5_ch"/>
          <w:rFonts w:ascii="Times New Roman" w:hAnsi="Times New Roman"/>
          <w:color w:val="000000"/>
        </w:rPr>
        <w:fldChar w:fldCharType="separate"/>
      </w:r>
      <w:r>
        <w:rPr>
          <w:rStyle w:val="Style_5_ch"/>
          <w:rFonts w:ascii="Times New Roman" w:hAnsi="Times New Roman"/>
          <w:color w:val="000000"/>
        </w:rPr>
        <w:t>sosnadm@mail.ru</w:t>
      </w:r>
      <w:r>
        <w:rPr>
          <w:rStyle w:val="Style_5_ch"/>
          <w:rFonts w:ascii="Times New Roman" w:hAnsi="Times New Roman"/>
          <w:color w:val="000000"/>
        </w:rPr>
        <w:fldChar w:fldCharType="end"/>
      </w:r>
    </w:p>
    <w:p w14:paraId="5C000000">
      <w:pPr>
        <w:spacing w:after="0" w:line="240" w:lineRule="auto"/>
        <w:ind/>
        <w:rPr>
          <w:rFonts w:ascii="Times New Roman" w:hAnsi="Times New Roman"/>
        </w:rPr>
      </w:pPr>
    </w:p>
    <w:p w14:paraId="5D000000">
      <w:pPr>
        <w:spacing w:after="0" w:line="240" w:lineRule="auto"/>
        <w:ind/>
        <w:jc w:val="right"/>
        <w:rPr>
          <w:rFonts w:ascii="Times New Roman" w:hAnsi="Times New Roman"/>
          <w:sz w:val="23"/>
        </w:rPr>
      </w:pPr>
    </w:p>
    <w:p w14:paraId="5E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А С П О Р Т</w:t>
      </w:r>
    </w:p>
    <w:p w14:paraId="5F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муниципальной программы </w:t>
      </w:r>
    </w:p>
    <w:p w14:paraId="60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Благоустройство территории муниципального образования </w:t>
      </w:r>
    </w:p>
    <w:p w14:paraId="61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Сосновское сельское поселение на 2025-2030 годы»</w:t>
      </w:r>
    </w:p>
    <w:p w14:paraId="62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-392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3406"/>
        <w:gridCol w:w="6393"/>
      </w:tblGrid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01.01.2025 - 31.12.2030 гг.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6000000">
            <w:pPr>
              <w:tabs>
                <w:tab w:leader="none" w:pos="276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Сосновское сельское поселение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Участники </w:t>
            </w:r>
          </w:p>
          <w:p w14:paraId="6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Сосновское сельское поселение, организации предоставляющие услуги по благоустройству на территории Сосновского сельского поселения;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 Ленинградской области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C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благоприятных условий для оказания ритуальных услуг;</w:t>
            </w:r>
          </w:p>
          <w:p w14:paraId="6D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улучшение освещенности улиц; </w:t>
            </w:r>
          </w:p>
          <w:p w14:paraId="6E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комплексное решение проблем благоустройства;</w:t>
            </w:r>
          </w:p>
          <w:p w14:paraId="6F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комфортных условий проживания и отдыха населения;</w:t>
            </w:r>
          </w:p>
          <w:p w14:paraId="70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степени удовлетворенности населения уровнем благоустройства;</w:t>
            </w:r>
          </w:p>
          <w:p w14:paraId="71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улучшение санитарного и экологического состояния сельского поселения;</w:t>
            </w:r>
          </w:p>
          <w:p w14:paraId="72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озеленение территории сельского поселения</w:t>
            </w:r>
          </w:p>
        </w:tc>
      </w:tr>
      <w:tr>
        <w:trPr>
          <w:trHeight w:hRule="atLeast" w:val="593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3000000">
            <w:pPr>
              <w:spacing w:after="0" w:before="3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взаимодействия между предприятиями, организациями и учреждениями при решении вопросов благоустройства поселения;</w:t>
            </w:r>
          </w:p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осуществление работ по содержанию кладбища сельского поселения и ритуальных услуг в рамках полномочий поселения;</w:t>
            </w:r>
          </w:p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уличное освещение на территории Сосновского сельского поселения; </w:t>
            </w:r>
          </w:p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приведение в качественное состояние объектов благоустройства; </w:t>
            </w: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привлечение жителей к участию в решении проблем благоустройства Сосновского сельского поселения;</w:t>
            </w:r>
          </w:p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Привлечение жителей к участию в решении проблем благоустройства населенных пунктов.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Повышение комфортных условий проживания граждан</w:t>
            </w:r>
          </w:p>
        </w:tc>
      </w:tr>
      <w:tr>
        <w:trPr>
          <w:trHeight w:hRule="atLeast" w:val="583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B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экономия электроэнергии уличного освещения и затрат на содержание уличного освещения;</w:t>
            </w:r>
          </w:p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обеспечение освещенности улиц, внедрение современных экологически безопасных осветительных приборов;</w:t>
            </w:r>
          </w:p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процент территории поселения, очищенной от несанкционированных свалок и бытового мусора (от площади загрязненной территории) - 95%;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процент привлечения предприятий и организаций поселения к работам по благоустройству – 100 %;</w:t>
            </w:r>
          </w:p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площадь территории сельского поселения, очищенной от сорной растительности – 85,00 тыс. кв. м.;</w:t>
            </w:r>
          </w:p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совершенствование эстетического состояния территории;</w:t>
            </w:r>
          </w:p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снижение уровня дорожно-транспортных происшествий, преступности на улицах, травматизма в ночное время суток;</w:t>
            </w:r>
          </w:p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уровень обработки (дезинсекция и дератизация) территории сельского поселения – 100%;</w:t>
            </w:r>
          </w:p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приведение в качественное состояние элементов благоустройства – 28 шт;</w:t>
            </w:r>
          </w:p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процент озеленения территории клумб в сельском поселении – 95%.</w:t>
            </w:r>
          </w:p>
        </w:tc>
      </w:tr>
      <w:tr>
        <w:trPr>
          <w:trHeight w:hRule="atLeast" w:val="314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6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7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Отраслевой проект «Благоустройство сельских территорий»</w:t>
            </w:r>
          </w:p>
        </w:tc>
      </w:tr>
      <w:tr>
        <w:trPr>
          <w:trHeight w:hRule="atLeast" w:val="314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8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9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Общий объем бюджетных ассигнований муниципальной программы составляет 213 655,0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тыс. руб., в том числе:</w:t>
            </w:r>
          </w:p>
          <w:p w14:paraId="8A000000">
            <w:pPr>
              <w:numPr>
                <w:numId w:val="2"/>
              </w:num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2025 год – 49 545,3 тыс. руб.</w:t>
            </w:r>
          </w:p>
          <w:p w14:paraId="8B000000">
            <w:pPr>
              <w:numPr>
                <w:numId w:val="2"/>
              </w:num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2026 год – 88 049,8 тыс. руб.</w:t>
            </w:r>
          </w:p>
          <w:p w14:paraId="8C000000">
            <w:pPr>
              <w:numPr>
                <w:numId w:val="2"/>
              </w:num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2027 год – 68 800,0 тыс. руб.</w:t>
            </w:r>
          </w:p>
          <w:p w14:paraId="8D000000">
            <w:pPr>
              <w:numPr>
                <w:numId w:val="2"/>
              </w:num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2028 год – 68 800,0 тыс. руб.</w:t>
            </w:r>
          </w:p>
          <w:p w14:paraId="8E000000">
            <w:pPr>
              <w:numPr>
                <w:numId w:val="2"/>
              </w:num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2029 год – 0,0 тыс. руб.</w:t>
            </w:r>
          </w:p>
          <w:p w14:paraId="8F000000">
            <w:pPr>
              <w:numPr>
                <w:numId w:val="2"/>
              </w:num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2030 год – 0,0 тыс. руб.</w:t>
            </w:r>
          </w:p>
        </w:tc>
      </w:tr>
      <w:tr>
        <w:trPr>
          <w:trHeight w:hRule="atLeast" w:val="651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0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Налоговые расходы не предусмотрены</w:t>
            </w:r>
          </w:p>
        </w:tc>
      </w:tr>
    </w:tbl>
    <w:p w14:paraId="92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93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bookmarkStart w:id="2" w:name="YANDEX_138"/>
      <w:bookmarkEnd w:id="2"/>
    </w:p>
    <w:p w14:paraId="94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5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6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7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8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9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A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B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C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D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E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9F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0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1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2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3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4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5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6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7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8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9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A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B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C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D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E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AF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B0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B1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 xml:space="preserve">1. Общая характеристика, основные проблемы и прогноз развития сферы реализации </w:t>
      </w:r>
    </w:p>
    <w:p w14:paraId="B2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муниципальной программы</w:t>
      </w:r>
    </w:p>
    <w:p w14:paraId="B3000000">
      <w:pPr>
        <w:spacing w:after="0" w:line="240" w:lineRule="auto"/>
        <w:ind w:firstLine="539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Данная</w:t>
      </w:r>
      <w:bookmarkStart w:id="3" w:name="YANDEX_144"/>
      <w:bookmarkEnd w:id="3"/>
      <w:r>
        <w:rPr>
          <w:rFonts w:ascii="Times New Roman" w:hAnsi="Times New Roman"/>
          <w:sz w:val="23"/>
        </w:rPr>
        <w:t xml:space="preserve"> Программа является основной для реализации мероприятий</w:t>
      </w:r>
      <w:bookmarkStart w:id="4" w:name="YANDEX_145"/>
      <w:bookmarkEnd w:id="4"/>
      <w:r>
        <w:rPr>
          <w:rFonts w:ascii="Times New Roman" w:hAnsi="Times New Roman"/>
          <w:sz w:val="23"/>
        </w:rPr>
        <w:t xml:space="preserve"> по</w:t>
      </w:r>
      <w:bookmarkStart w:id="5" w:name="YANDEX_146"/>
      <w:bookmarkEnd w:id="5"/>
      <w:r>
        <w:rPr>
          <w:rFonts w:ascii="Times New Roman" w:hAnsi="Times New Roman"/>
          <w:sz w:val="23"/>
        </w:rPr>
        <w:t xml:space="preserve"> благоустройству, озеленению, </w:t>
      </w:r>
      <w:r>
        <w:rPr>
          <w:rFonts w:ascii="Times New Roman" w:hAnsi="Times New Roman"/>
          <w:sz w:val="24"/>
        </w:rPr>
        <w:t xml:space="preserve">созданию благоустроенных зон отдыха, детских спортивных и игровых площадок, </w:t>
      </w:r>
      <w:r>
        <w:rPr>
          <w:rFonts w:ascii="Times New Roman" w:hAnsi="Times New Roman"/>
          <w:sz w:val="23"/>
        </w:rPr>
        <w:t>улучшению санитарного состояния и архитектурно-художественного оформления населённых пунктов Сосновского сельского поселения Приозерского муниципального района Ленинградской области.</w:t>
      </w:r>
      <w:bookmarkStart w:id="6" w:name="YANDEX_147"/>
      <w:bookmarkEnd w:id="6"/>
    </w:p>
    <w:p w14:paraId="B4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Сосновское сельское поселение включает в себя девять населённых пунктов. Населённые пункты удалены друг от друга, имеется значительная протяженность дорог</w:t>
      </w:r>
      <w:bookmarkStart w:id="7" w:name="YANDEX_150"/>
      <w:bookmarkEnd w:id="7"/>
      <w:r>
        <w:rPr>
          <w:rFonts w:ascii="Times New Roman" w:hAnsi="Times New Roman"/>
          <w:sz w:val="23"/>
        </w:rPr>
        <w:t xml:space="preserve"> муниципального и регионального значения. Большинство объектов внешнего</w:t>
      </w:r>
      <w:bookmarkStart w:id="8" w:name="YANDEX_151"/>
      <w:bookmarkEnd w:id="8"/>
      <w:r>
        <w:rPr>
          <w:rFonts w:ascii="Times New Roman" w:hAnsi="Times New Roman"/>
          <w:sz w:val="23"/>
        </w:rPr>
        <w:t xml:space="preserve"> благоустройства населенных пунктов, таких как пешеходные зоны, зоны отдыха, дороги, нуждаются в ремонте и реконструкции.</w:t>
      </w:r>
    </w:p>
    <w:p w14:paraId="B5000000">
      <w:pPr>
        <w:spacing w:after="0" w:line="240" w:lineRule="auto"/>
        <w:ind w:firstLine="36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Программно-целевой подход к решению проблем благоустройства и развития</w:t>
      </w:r>
      <w:bookmarkStart w:id="9" w:name="YANDEX_156"/>
      <w:bookmarkEnd w:id="9"/>
      <w:r>
        <w:rPr>
          <w:rFonts w:ascii="Times New Roman" w:hAnsi="Times New Roman"/>
          <w:sz w:val="23"/>
        </w:rPr>
        <w:t xml:space="preserve"> территории необходим, так как без стройной комплексной системы </w:t>
      </w:r>
      <w:bookmarkStart w:id="10" w:name="YANDEX_157"/>
      <w:bookmarkEnd w:id="10"/>
      <w:r>
        <w:rPr>
          <w:rFonts w:ascii="Times New Roman" w:hAnsi="Times New Roman"/>
          <w:sz w:val="23"/>
        </w:rPr>
        <w:t>благоустройства</w:t>
      </w:r>
      <w:bookmarkStart w:id="11" w:name="YANDEX_158"/>
      <w:bookmarkEnd w:id="11"/>
      <w:r>
        <w:rPr>
          <w:rFonts w:ascii="Times New Roman" w:hAnsi="Times New Roman"/>
          <w:sz w:val="23"/>
        </w:rPr>
        <w:t xml:space="preserve"> </w:t>
      </w:r>
      <w:bookmarkStart w:id="12" w:name="YANDEX_159"/>
      <w:bookmarkEnd w:id="12"/>
      <w:r>
        <w:rPr>
          <w:rFonts w:ascii="Times New Roman" w:hAnsi="Times New Roman"/>
          <w:sz w:val="23"/>
        </w:rPr>
        <w:t>Сосновского сельского</w:t>
      </w:r>
      <w:bookmarkStart w:id="13" w:name="YANDEX_160"/>
      <w:bookmarkEnd w:id="13"/>
      <w:r>
        <w:rPr>
          <w:rFonts w:ascii="Times New Roman" w:hAnsi="Times New Roman"/>
          <w:sz w:val="23"/>
        </w:rPr>
        <w:t xml:space="preserve"> поселения невозможно добиться каких-либо значимых результатов в обеспечении комфортных условий для деятельности и отдыха жителей</w:t>
      </w:r>
      <w:bookmarkStart w:id="14" w:name="YANDEX_161"/>
      <w:bookmarkEnd w:id="14"/>
      <w:r>
        <w:rPr>
          <w:rFonts w:ascii="Times New Roman" w:hAnsi="Times New Roman"/>
          <w:sz w:val="23"/>
        </w:rPr>
        <w:t xml:space="preserve"> поселения. Важна четкая </w:t>
      </w:r>
      <w:r>
        <w:rPr>
          <w:rFonts w:ascii="Times New Roman" w:hAnsi="Times New Roman"/>
          <w:sz w:val="23"/>
        </w:rPr>
        <w:t>согласованность действий местной администрации и предприятий, учреждений, населения, обеспечивающих жизнедеятельность</w:t>
      </w:r>
      <w:bookmarkStart w:id="15" w:name="YANDEX_162"/>
      <w:bookmarkEnd w:id="15"/>
      <w:r>
        <w:rPr>
          <w:rFonts w:ascii="Times New Roman" w:hAnsi="Times New Roman"/>
          <w:sz w:val="23"/>
        </w:rPr>
        <w:t xml:space="preserve"> поселения и занимающихся</w:t>
      </w:r>
      <w:bookmarkStart w:id="16" w:name="YANDEX_163"/>
      <w:bookmarkEnd w:id="16"/>
      <w:r>
        <w:rPr>
          <w:rFonts w:ascii="Times New Roman" w:hAnsi="Times New Roman"/>
          <w:sz w:val="23"/>
        </w:rPr>
        <w:t xml:space="preserve"> благоустройством.</w:t>
      </w:r>
    </w:p>
    <w:p w14:paraId="B6000000">
      <w:pPr>
        <w:spacing w:after="0" w:line="240" w:lineRule="auto"/>
        <w:ind w:firstLine="36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Муниципальная программа «Благоустройство территории муниципального образования Сосновское сельское поселение на 2025-2030 годы», разработана в соответствии со ст. 14 Федерального закона № 131-ФЗ «Об общих принципах организации местного самоуправления Российской Федерации», положениями Областного закона Ленинградской области от 24.06.2014 года № 48-ОЗ «Об отдельных вопросах местного значения сельских поселений Ленинградской области» (с изменениями).</w:t>
      </w:r>
    </w:p>
    <w:p w14:paraId="B7000000">
      <w:pPr>
        <w:spacing w:after="0" w:line="240" w:lineRule="auto"/>
        <w:ind w:firstLine="36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Согласно ст. 14 Федерального закона № 131-ФЗ к вопросам местного значения, которые обязаны решать местные органы представительной и исполнительной власти, относятся вопросы обеспечения населения качественными условиями проживания, включая и благоустройство территории поселения. К вопросам местного значения в данном разделе относятся:</w:t>
      </w:r>
    </w:p>
    <w:p w14:paraId="B8000000">
      <w:pPr>
        <w:numPr>
          <w:ilvl w:val="0"/>
          <w:numId w:val="3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владение, пользование и распоряжение имуществом, находящимся в муниципальной собственности поселения;</w:t>
      </w:r>
    </w:p>
    <w:p w14:paraId="B9000000">
      <w:pPr>
        <w:numPr>
          <w:ilvl w:val="0"/>
          <w:numId w:val="3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создание условий для массового отдыха жителей поселения и организация обустройства мест массового отдыха населения;</w:t>
      </w:r>
    </w:p>
    <w:p w14:paraId="BA000000">
      <w:pPr>
        <w:numPr>
          <w:ilvl w:val="0"/>
          <w:numId w:val="3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организация сбора и вывоза бытовых отходов и мусора;</w:t>
      </w:r>
    </w:p>
    <w:p w14:paraId="BB000000">
      <w:pPr>
        <w:numPr>
          <w:ilvl w:val="0"/>
          <w:numId w:val="3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организация благоустройства и озеленения территории поселения,</w:t>
      </w:r>
    </w:p>
    <w:p w14:paraId="BC000000">
      <w:pPr>
        <w:numPr>
          <w:ilvl w:val="0"/>
          <w:numId w:val="3"/>
        </w:numPr>
        <w:spacing w:after="0" w:line="240" w:lineRule="auto"/>
        <w:ind w:hanging="357" w:left="714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организация освещения улиц;</w:t>
      </w:r>
    </w:p>
    <w:p w14:paraId="BD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Определение перспектив</w:t>
      </w:r>
      <w:bookmarkStart w:id="17" w:name="YANDEX_164"/>
      <w:bookmarkEnd w:id="17"/>
      <w:r>
        <w:rPr>
          <w:rFonts w:ascii="Times New Roman" w:hAnsi="Times New Roman"/>
          <w:sz w:val="23"/>
        </w:rPr>
        <w:t xml:space="preserve"> благоустройства</w:t>
      </w:r>
      <w:bookmarkStart w:id="18" w:name="YANDEX_165"/>
      <w:bookmarkEnd w:id="18"/>
      <w:r>
        <w:rPr>
          <w:rFonts w:ascii="Times New Roman" w:hAnsi="Times New Roman"/>
          <w:sz w:val="23"/>
        </w:rPr>
        <w:t xml:space="preserve"> муниципального образования Сосновское сельское поселение позволит добиться сосредоточения средств на решение поставленных задач,                                   а не расходовать средства на текущий ремонт отдельных элементов</w:t>
      </w:r>
      <w:bookmarkStart w:id="19" w:name="YANDEX_168"/>
      <w:bookmarkEnd w:id="19"/>
      <w:r>
        <w:rPr>
          <w:rFonts w:ascii="Times New Roman" w:hAnsi="Times New Roman"/>
          <w:sz w:val="23"/>
        </w:rPr>
        <w:t xml:space="preserve"> благоустройства и объектов коммунального хозяйства.</w:t>
      </w:r>
    </w:p>
    <w:p w14:paraId="BE000000">
      <w:pPr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14:paraId="BF000000">
      <w:pPr>
        <w:numPr>
          <w:ilvl w:val="0"/>
          <w:numId w:val="5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14:paraId="C0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14:paraId="C1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с многочисленными обращениями граждан по вопросам  старых разросшихся деревьев.</w:t>
      </w:r>
    </w:p>
    <w:p w14:paraId="C2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Программа полностью соответствует приоритетам социально-экономического развития Сосновского сельского поселения Приозерского муниципального района Ленинградской области на 2025 – 2030 гг. на среднесрочную перспективу.</w:t>
      </w:r>
    </w:p>
    <w:p w14:paraId="C3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 Реализация программы направлена на:</w:t>
      </w:r>
    </w:p>
    <w:p w14:paraId="C4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-     создание условий для улучшения качества жизни населения;</w:t>
      </w:r>
    </w:p>
    <w:p w14:paraId="C5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- осуществление мероприятий по обеспечению безопасности жизнедеятельности и сохранения окружающей среды.</w:t>
      </w:r>
    </w:p>
    <w:p w14:paraId="C6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 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 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14:paraId="C7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В течение 2025-2030 годов необходимо организовать и провести:</w:t>
      </w:r>
    </w:p>
    <w:p w14:paraId="C8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- субботники, направленные на благоустройство муниципального образования с привлечением предприятий, организаций и учреждений. 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14:paraId="C9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Отраслевым проектом «Благоустройство сельских территорий» (осуществление мероприятий по борьбе с борщевиком Сосновский») предусмотрено сохранение и восстановление земельных ресурсов.</w:t>
      </w:r>
    </w:p>
    <w:p w14:paraId="CA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Борщевик Сосновского с 1960-х годов культивировался во многих регионах России как перспективная кормовая культура. В Ленинградской области его площади занимали более 1 тыс. га. Свое название растение получило в честь исследователя флоры Кавказа Сосновского Д.И.</w:t>
      </w:r>
    </w:p>
    <w:p w14:paraId="CB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14:paraId="CC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14:paraId="CD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Также в растении содержатся биологически активные вещества - фитоэкстрогены, которые могут вызывать расстройство воспроизводительной функции у животных.</w:t>
      </w:r>
    </w:p>
    <w:p w14:paraId="CE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14:paraId="CF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На территории населенных пунктов Сосновского сельского поселения Приозерского муниципального района Ленинградской области борщевиком Сосновского засорены порядка 9,5 га земель. </w:t>
      </w:r>
    </w:p>
    <w:p w14:paraId="D0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населенных пунктов Сосновского сельского поселения Приозерского муниципального района Ленинградской области показывает, что засоренность борщевиком будет повышаться. Поэтому в настоящее время борьба с этим опасным растением приобретает особую актуальность.</w:t>
      </w:r>
    </w:p>
    <w:p w14:paraId="D1000000">
      <w:pPr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Целями мероприятия являются локализация и ликвидация очагов распространения борщевика на территории поселения, а также исключение случаев травматизма среди населения.</w:t>
      </w:r>
    </w:p>
    <w:p w14:paraId="D2000000">
      <w:pPr>
        <w:spacing w:after="0" w:line="240" w:lineRule="auto"/>
        <w:ind w:firstLine="37" w:left="0"/>
        <w:jc w:val="center"/>
        <w:rPr>
          <w:rFonts w:ascii="Times New Roman" w:hAnsi="Times New Roman"/>
          <w:b w:val="1"/>
          <w:i w:val="1"/>
          <w:sz w:val="23"/>
        </w:rPr>
      </w:pPr>
    </w:p>
    <w:p w14:paraId="D3000000">
      <w:pPr>
        <w:spacing w:after="0" w:line="240" w:lineRule="auto"/>
        <w:ind w:firstLine="37" w:left="0"/>
        <w:jc w:val="center"/>
        <w:rPr>
          <w:rFonts w:ascii="Times New Roman" w:hAnsi="Times New Roman"/>
          <w:b w:val="1"/>
          <w:i w:val="1"/>
          <w:sz w:val="23"/>
        </w:rPr>
      </w:pPr>
    </w:p>
    <w:p w14:paraId="D4000000">
      <w:pPr>
        <w:spacing w:after="0" w:line="240" w:lineRule="auto"/>
        <w:ind w:firstLine="37" w:left="0"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2. Приоритеты и цели муниципальной политики в сфере реализации муниципальной программы</w:t>
      </w:r>
    </w:p>
    <w:p w14:paraId="D5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D6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  <w:r>
        <w:rPr>
          <w:rFonts w:ascii="Times New Roman" w:hAnsi="Times New Roman"/>
          <w:i w:val="1"/>
          <w:sz w:val="23"/>
        </w:rPr>
        <w:t>Цель программы:</w:t>
      </w:r>
    </w:p>
    <w:p w14:paraId="D7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i w:val="1"/>
          <w:sz w:val="23"/>
        </w:rPr>
      </w:pPr>
      <w:r>
        <w:rPr>
          <w:rFonts w:ascii="Times New Roman" w:hAnsi="Times New Roman"/>
          <w:sz w:val="23"/>
        </w:rPr>
        <w:t>Совершенствование системы комплексного благоустройства муниципального образования Сосновское сельское поселение, создание комфортных условий проживания и отдыха населения, повышение качества предоставляемых коммунальных услуг, в том числе, путем совершенствования системы местного самоуправления посредством развития новых форм местного самоуправления</w:t>
      </w:r>
      <w:r>
        <w:rPr>
          <w:rFonts w:ascii="Times New Roman" w:hAnsi="Times New Roman"/>
          <w:i w:val="1"/>
          <w:sz w:val="23"/>
        </w:rPr>
        <w:t>.</w:t>
      </w:r>
    </w:p>
    <w:p w14:paraId="D8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</w:p>
    <w:p w14:paraId="D9000000">
      <w:pPr>
        <w:spacing w:after="0" w:line="240" w:lineRule="auto"/>
        <w:ind w:firstLine="708" w:left="0"/>
        <w:contextualSpacing w:val="1"/>
        <w:jc w:val="center"/>
        <w:rPr>
          <w:rFonts w:ascii="Times New Roman" w:hAnsi="Times New Roman"/>
          <w:i w:val="1"/>
          <w:sz w:val="23"/>
        </w:rPr>
      </w:pPr>
      <w:r>
        <w:rPr>
          <w:rFonts w:ascii="Times New Roman" w:hAnsi="Times New Roman"/>
          <w:i w:val="1"/>
          <w:sz w:val="23"/>
        </w:rPr>
        <w:t>Приоритетные задачи Программ</w:t>
      </w:r>
      <w:bookmarkStart w:id="20" w:name="YANDEX_174"/>
      <w:bookmarkEnd w:id="20"/>
      <w:r>
        <w:rPr>
          <w:rFonts w:ascii="Times New Roman" w:hAnsi="Times New Roman"/>
          <w:i w:val="1"/>
          <w:sz w:val="23"/>
        </w:rPr>
        <w:t>ы:</w:t>
      </w:r>
    </w:p>
    <w:p w14:paraId="DA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</w:p>
    <w:p w14:paraId="DB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создания благоприятных условий для оказания ритуальных услуг населению сельского поселения;</w:t>
      </w:r>
    </w:p>
    <w:p w14:paraId="DC000000">
      <w:pPr>
        <w:numPr>
          <w:numId w:val="6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осуществление мероприятий по поддержанию порядка,</w:t>
      </w:r>
      <w:bookmarkStart w:id="21" w:name="YANDEX_175"/>
      <w:bookmarkEnd w:id="21"/>
      <w:r>
        <w:rPr>
          <w:rFonts w:ascii="Times New Roman" w:hAnsi="Times New Roman"/>
          <w:sz w:val="23"/>
        </w:rPr>
        <w:t> благоустройства, архитектурно-художественного оформления и санитарного состояния на</w:t>
      </w:r>
      <w:bookmarkStart w:id="22" w:name="YANDEX_176"/>
      <w:bookmarkEnd w:id="22"/>
      <w:r>
        <w:rPr>
          <w:rFonts w:ascii="Times New Roman" w:hAnsi="Times New Roman"/>
          <w:sz w:val="23"/>
        </w:rPr>
        <w:t> территории Сосновского сельского поселения;</w:t>
      </w:r>
    </w:p>
    <w:p w14:paraId="D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 формирование среды, благоприятной для проживания населения;</w:t>
      </w:r>
    </w:p>
    <w:p w14:paraId="DE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 создание и обустройство общественных парков и зон отдыха, благоустройство зон зеленых насаждений в границах населенных пунктов.</w:t>
      </w:r>
    </w:p>
    <w:p w14:paraId="DF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привлечение к осуществлению мероприятий</w:t>
      </w:r>
      <w:bookmarkStart w:id="23" w:name="YANDEX_179"/>
      <w:bookmarkEnd w:id="23"/>
      <w:r>
        <w:rPr>
          <w:rFonts w:ascii="Times New Roman" w:hAnsi="Times New Roman"/>
          <w:sz w:val="23"/>
        </w:rPr>
        <w:t xml:space="preserve"> по</w:t>
      </w:r>
      <w:bookmarkStart w:id="24" w:name="YANDEX_180"/>
      <w:bookmarkEnd w:id="24"/>
      <w:r>
        <w:rPr>
          <w:rFonts w:ascii="Times New Roman" w:hAnsi="Times New Roman"/>
          <w:sz w:val="23"/>
        </w:rPr>
        <w:t xml:space="preserve"> благоустройству</w:t>
      </w:r>
      <w:bookmarkStart w:id="25" w:name="YANDEX_181"/>
      <w:bookmarkEnd w:id="25"/>
      <w:r>
        <w:rPr>
          <w:rFonts w:ascii="Times New Roman" w:hAnsi="Times New Roman"/>
          <w:sz w:val="23"/>
        </w:rPr>
        <w:t xml:space="preserve"> территорий физических                                и юридических лиц и повышение их ответственности за соблюдение чистоты и порядка;</w:t>
      </w:r>
    </w:p>
    <w:p w14:paraId="E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 усиление контроля за использованием,</w:t>
      </w:r>
      <w:bookmarkStart w:id="26" w:name="YANDEX_182"/>
      <w:bookmarkEnd w:id="26"/>
      <w:r>
        <w:rPr>
          <w:rFonts w:ascii="Times New Roman" w:hAnsi="Times New Roman"/>
          <w:sz w:val="23"/>
        </w:rPr>
        <w:t xml:space="preserve"> благоустройством</w:t>
      </w:r>
      <w:bookmarkStart w:id="27" w:name="YANDEX_183"/>
      <w:bookmarkEnd w:id="27"/>
      <w:r>
        <w:rPr>
          <w:rFonts w:ascii="Times New Roman" w:hAnsi="Times New Roman"/>
          <w:sz w:val="23"/>
        </w:rPr>
        <w:t xml:space="preserve"> территорий;</w:t>
      </w:r>
    </w:p>
    <w:p w14:paraId="E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создание новых и обустройство существующих детских, спортивных площадок малыми архитектурными формами;</w:t>
      </w:r>
    </w:p>
    <w:p w14:paraId="E2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модернизация сети уличного освещения;</w:t>
      </w:r>
    </w:p>
    <w:p w14:paraId="E3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сохранение и восстановление земельных ресурсов, сохранение сбалансированной экосистемы, антропогенных и природных ландшафтов, а также улучшение экологической обстановки для обеспечения условий жизнедеятельности населения.</w:t>
      </w:r>
    </w:p>
    <w:p w14:paraId="E4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i w:val="1"/>
          <w:sz w:val="23"/>
        </w:rPr>
        <w:t xml:space="preserve"> </w:t>
      </w:r>
    </w:p>
    <w:p w14:paraId="E5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3. Перечень групп программных мероприятий</w:t>
      </w:r>
      <w:r>
        <w:rPr>
          <w:rFonts w:ascii="Times New Roman" w:hAnsi="Times New Roman"/>
          <w:b w:val="1"/>
          <w:sz w:val="23"/>
        </w:rPr>
        <w:t>.</w:t>
      </w:r>
    </w:p>
    <w:p w14:paraId="E6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E7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 xml:space="preserve">Для реализации поставленных целей и решения задач программы предусмотрено выполнение следующих мероприятий в рамках муниципальной программы: </w:t>
      </w:r>
    </w:p>
    <w:p w14:paraId="E8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– комплекс процессных мероприятий «Совершенствование системы благоустройства» – </w:t>
      </w:r>
    </w:p>
    <w:p w14:paraId="E9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уличное освещение, организация и содержание мест захоронения, поддержка развития общественной инфраструктуры;</w:t>
      </w:r>
    </w:p>
    <w:p w14:paraId="EA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комплекс процессных мероприятий «Охрана окружающей среды» – мероприятия по охране окружающей среды;</w:t>
      </w:r>
    </w:p>
    <w:p w14:paraId="EB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 комплекс процессных мероприятий «Реализация функций в сфере обращения с отходами» – мероприятия в области жилищно-коммунального хозяйства»;</w:t>
      </w:r>
    </w:p>
    <w:p w14:paraId="EC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осуществление мероприятий по борьбе с борщевиком Сосновского в рамках отраслевого проектам «Благоустройство сельских территорий»</w:t>
      </w:r>
    </w:p>
    <w:p w14:paraId="ED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EE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EF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4. Целевые показатели муниципальной программы</w:t>
      </w:r>
    </w:p>
    <w:p w14:paraId="F0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«Благоустройство территории муниципального образования</w:t>
      </w:r>
    </w:p>
    <w:p w14:paraId="F1000000">
      <w:pPr>
        <w:tabs>
          <w:tab w:leader="none" w:pos="288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  <w:r>
        <w:rPr>
          <w:rFonts w:ascii="Times New Roman" w:hAnsi="Times New Roman"/>
          <w:b w:val="1"/>
          <w:i w:val="1"/>
          <w:sz w:val="23"/>
        </w:rPr>
        <w:t>Сосновское сельское поселение на 2025-2030 годы»</w:t>
      </w:r>
    </w:p>
    <w:p w14:paraId="F2000000">
      <w:pPr>
        <w:tabs>
          <w:tab w:leader="none" w:pos="288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3"/>
        </w:rPr>
      </w:pPr>
    </w:p>
    <w:tbl>
      <w:tblPr>
        <w:tblStyle w:val="Style_2"/>
        <w:tblInd w:type="dxa" w:w="-885"/>
        <w:tblLayout w:type="fixed"/>
      </w:tblPr>
      <w:tblGrid>
        <w:gridCol w:w="554"/>
        <w:gridCol w:w="2243"/>
        <w:gridCol w:w="738"/>
        <w:gridCol w:w="850"/>
        <w:gridCol w:w="844"/>
        <w:gridCol w:w="840"/>
        <w:gridCol w:w="852"/>
        <w:gridCol w:w="816"/>
        <w:gridCol w:w="840"/>
        <w:gridCol w:w="2064"/>
      </w:tblGrid>
      <w:tr>
        <w:tc>
          <w:tcPr>
            <w:tcW w:type="dxa" w:w="5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строки</w:t>
            </w:r>
          </w:p>
        </w:tc>
        <w:tc>
          <w:tcPr>
            <w:tcW w:type="dxa" w:w="22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  <w:p w14:paraId="F5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целевого показателя муниципальной подпрограммы</w:t>
            </w:r>
          </w:p>
        </w:tc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 изм.</w:t>
            </w:r>
          </w:p>
        </w:tc>
        <w:tc>
          <w:tcPr>
            <w:tcW w:type="dxa" w:w="504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целевого показателя по итогам</w:t>
            </w:r>
          </w:p>
        </w:tc>
        <w:tc>
          <w:tcPr>
            <w:tcW w:type="dxa" w:w="20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Справочно:</w:t>
            </w:r>
          </w:p>
          <w:p w14:paraId="F9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  <w:p w14:paraId="FA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целевого показателя</w:t>
            </w:r>
          </w:p>
          <w:p w14:paraId="FB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 начало реализации муниципальной программы)</w:t>
            </w:r>
          </w:p>
        </w:tc>
      </w:tr>
      <w:tr>
        <w:tc>
          <w:tcPr>
            <w:tcW w:type="dxa" w:w="5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2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E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г.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 г.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г.</w:t>
            </w:r>
          </w:p>
        </w:tc>
        <w:tc>
          <w:tcPr>
            <w:tcW w:type="dxa" w:w="20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64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КОМПЛЕКС ПРОЦЕССНЫХ МЕРОПРИЯТИЙ «СОВЕРШЕНСТВОВАНИЕ СИСТЕМЫ БЛАГОУСТРОЙСТВА»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0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Уличное освещение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метров по техническому обслуживанию уличного освещения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10000">
            <w:pPr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метров уличного освещения, подлежащих ремонту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0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Прочие мероприятия по благоустройству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Монтаж/демонтаж новогодних елей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Мемориальный комплекс, посвященный </w:t>
            </w:r>
            <w:r>
              <w:rPr>
                <w:rFonts w:ascii="Times New Roman" w:hAnsi="Times New Roman"/>
                <w:sz w:val="20"/>
              </w:rPr>
              <w:t>участникам СВО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искусственной ели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зимней горки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Строительный контроль/экспертиза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проектной документации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концепций благоустройства территорий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Покос травы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малых форм 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уличных скамеек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урн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мероприятий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рамках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проведения</w:t>
            </w:r>
            <w:r>
              <w:rPr>
                <w:rFonts w:ascii="Times New Roman" w:hAnsi="Times New Roman"/>
                <w:sz w:val="20"/>
              </w:rPr>
              <w:t> </w:t>
            </w:r>
          </w:p>
          <w:p w14:paraId="8B010000">
            <w:pPr>
              <w:pStyle w:val="Style_3"/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субботника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Снос сараев</w:t>
            </w:r>
          </w:p>
        </w:tc>
        <w:tc>
          <w:tcPr>
            <w:tcW w:type="dxa" w:w="73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и обустройство детской площадки пл. 69 км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Установка игрового  </w:t>
            </w:r>
            <w:r>
              <w:rPr>
                <w:rFonts w:ascii="Times New Roman" w:hAnsi="Times New Roman"/>
                <w:sz w:val="20"/>
              </w:rPr>
              <w:t>оборудования Первомайская, д.15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и обустройство детск</w:t>
            </w:r>
            <w:r>
              <w:rPr>
                <w:rFonts w:ascii="Times New Roman" w:hAnsi="Times New Roman"/>
                <w:sz w:val="20"/>
              </w:rPr>
              <w:t>ой площадки Кривко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19.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Устройство резинового покрытия п. Сосново, ул. Связи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Устройство дорожки к детской площадке д. Новожилово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Обустройство детской игровой площадки на ул. Механизаторов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  <w:p w14:paraId="D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0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Организация и содержание мест захоронения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Обслуживание кладбища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Оснащение братских захоронений системой радиотрансляции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1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документации по благоустройству воинского захоронения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0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Поддержка развития общественной инфраструктуры муниципального значения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детской площадки д. Новожилово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Освещение</w:t>
            </w:r>
            <w:r>
              <w:rPr>
                <w:rFonts w:ascii="Times New Roman" w:hAnsi="Times New Roman"/>
                <w:sz w:val="20"/>
              </w:rPr>
              <w:t xml:space="preserve"> Зеленая Горка, ул. Осиновая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type="dxa" w:w="22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Монтаж системы видеонаблюдения д. Новожилово</w:t>
            </w:r>
          </w:p>
        </w:tc>
        <w:tc>
          <w:tcPr>
            <w:tcW w:type="dxa" w:w="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5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type="dxa" w:w="22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 детской площадки и организация уличного освещения д. Кривко</w:t>
            </w:r>
          </w:p>
        </w:tc>
        <w:tc>
          <w:tcPr>
            <w:tcW w:type="dxa" w:w="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  <w:p w14:paraId="1F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c>
          <w:tcPr>
            <w:tcW w:type="dxa" w:w="10641"/>
            <w:gridSpan w:val="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«ОХРАНА ОКРУЖАЮЩЕЙ СРЕДЫ»</w:t>
            </w:r>
          </w:p>
        </w:tc>
      </w:tr>
      <w:tr>
        <w:tc>
          <w:tcPr>
            <w:tcW w:type="dxa" w:w="5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2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C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D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0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54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</w:tcPr>
          <w:p w14:paraId="3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type="dxa" w:w="2243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</w:tcPr>
          <w:p w14:paraId="3202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сухостойных и аварийных деревьев, подлежащих сносу</w:t>
            </w:r>
          </w:p>
        </w:tc>
        <w:tc>
          <w:tcPr>
            <w:tcW w:type="dxa" w:w="738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</w:tcPr>
          <w:p w14:paraId="3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</w:tcPr>
          <w:p w14:paraId="3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844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</w:tcPr>
          <w:p w14:paraId="3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40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</w:tcPr>
          <w:p w14:paraId="36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85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2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мероприятий по подготовке мест массового отдыха населения у воды 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20000">
            <w:pPr>
              <w:tabs>
                <w:tab w:leader="none" w:pos="287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Акарицидная обработка территории 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8,32</w:t>
            </w:r>
          </w:p>
        </w:tc>
      </w:tr>
      <w:tr>
        <w:tc>
          <w:tcPr>
            <w:tcW w:type="dxa" w:w="1064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«Реализация функций в сфере обращения с отходами»</w:t>
            </w:r>
          </w:p>
        </w:tc>
      </w:tr>
      <w:tr>
        <w:tc>
          <w:tcPr>
            <w:tcW w:type="dxa" w:w="5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type="dxa" w:w="22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tabs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контейнерных площадок </w:t>
            </w:r>
          </w:p>
        </w:tc>
        <w:tc>
          <w:tcPr>
            <w:tcW w:type="dxa" w:w="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ед..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мусора при ликвидации несанкционированных свалок и навалов мусора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</w:tr>
      <w:tr>
        <w:tc>
          <w:tcPr>
            <w:tcW w:type="dxa" w:w="1064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ОТРАСЛЕВОЙ ПРОЕКТ «БЛАГОУСТРОЙСТВО СЕЛЬСКИХ ТЕРРИТОРИЙ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20000">
            <w:pPr>
              <w:pStyle w:val="Style_3"/>
              <w:tabs>
                <w:tab w:leader="none" w:pos="28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мероприятий по борьбе с борщевиком Сосновского</w:t>
            </w:r>
          </w:p>
        </w:tc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tabs>
                <w:tab w:leader="none" w:pos="288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</w:tbl>
    <w:p w14:paraId="6F020000">
      <w:pPr>
        <w:pStyle w:val="Style_7"/>
        <w:spacing w:line="293" w:lineRule="atLeast"/>
        <w:ind/>
        <w:jc w:val="center"/>
        <w:rPr>
          <w:b w:val="1"/>
          <w:i w:val="1"/>
          <w:sz w:val="23"/>
        </w:rPr>
      </w:pPr>
      <w:bookmarkStart w:id="28" w:name="100395"/>
      <w:bookmarkEnd w:id="28"/>
      <w:r>
        <w:rPr>
          <w:b w:val="1"/>
          <w:i w:val="1"/>
          <w:sz w:val="23"/>
        </w:rPr>
        <w:t xml:space="preserve">5. Методика оценки эффективности и реализации муниципальной программы </w:t>
      </w:r>
      <w:bookmarkStart w:id="29" w:name="100396"/>
      <w:bookmarkEnd w:id="29"/>
      <w:r>
        <w:rPr>
          <w:sz w:val="23"/>
        </w:rPr>
        <w:t>Состав целевых показателей и индикаторов Программы определен таким образом, чтобы обеспечить:</w:t>
      </w:r>
    </w:p>
    <w:p w14:paraId="70020000">
      <w:pPr>
        <w:pStyle w:val="Style_7"/>
        <w:spacing w:after="0" w:line="293" w:lineRule="atLeast"/>
        <w:ind w:right="140"/>
        <w:jc w:val="both"/>
        <w:rPr>
          <w:sz w:val="23"/>
        </w:rPr>
      </w:pPr>
      <w:bookmarkStart w:id="30" w:name="100397"/>
      <w:bookmarkEnd w:id="30"/>
      <w:r>
        <w:rPr>
          <w:sz w:val="23"/>
        </w:rPr>
        <w:t>- наблюдаемость значений показателей (индикаторов) в течение срока реализации Программы;</w:t>
      </w:r>
    </w:p>
    <w:p w14:paraId="71020000">
      <w:pPr>
        <w:pStyle w:val="Style_7"/>
        <w:spacing w:after="0" w:line="293" w:lineRule="atLeast"/>
        <w:ind w:right="140"/>
        <w:jc w:val="both"/>
        <w:rPr>
          <w:sz w:val="23"/>
        </w:rPr>
      </w:pPr>
      <w:bookmarkStart w:id="31" w:name="100398"/>
      <w:bookmarkEnd w:id="31"/>
      <w:r>
        <w:rPr>
          <w:sz w:val="23"/>
        </w:rPr>
        <w:t>- охват всех наиболее значимых результатов реализации мероприятий;</w:t>
      </w:r>
    </w:p>
    <w:p w14:paraId="72020000">
      <w:pPr>
        <w:pStyle w:val="Style_7"/>
        <w:spacing w:after="0" w:line="293" w:lineRule="atLeast"/>
        <w:ind w:right="140"/>
        <w:jc w:val="both"/>
        <w:rPr>
          <w:sz w:val="23"/>
        </w:rPr>
      </w:pPr>
      <w:bookmarkStart w:id="32" w:name="100399"/>
      <w:bookmarkEnd w:id="32"/>
      <w:r>
        <w:rPr>
          <w:sz w:val="23"/>
        </w:rPr>
        <w:t>- минимизацию количества показателей (индикаторов);</w:t>
      </w:r>
    </w:p>
    <w:p w14:paraId="73020000">
      <w:pPr>
        <w:pStyle w:val="Style_7"/>
        <w:spacing w:after="0" w:line="293" w:lineRule="atLeast"/>
        <w:ind w:right="140"/>
        <w:jc w:val="both"/>
        <w:rPr>
          <w:sz w:val="23"/>
        </w:rPr>
      </w:pPr>
      <w:bookmarkStart w:id="33" w:name="100400"/>
      <w:bookmarkEnd w:id="33"/>
      <w:r>
        <w:rPr>
          <w:sz w:val="23"/>
        </w:rPr>
        <w:t>- наличие формализованных методик расчета значений показателей (индикаторов).</w:t>
      </w:r>
    </w:p>
    <w:p w14:paraId="74020000">
      <w:pPr>
        <w:pStyle w:val="Style_7"/>
        <w:spacing w:after="0" w:line="293" w:lineRule="atLeast"/>
        <w:ind w:firstLine="708" w:left="0" w:right="140"/>
        <w:jc w:val="both"/>
        <w:rPr>
          <w:sz w:val="23"/>
        </w:rPr>
      </w:pPr>
      <w:bookmarkStart w:id="34" w:name="100401"/>
      <w:bookmarkEnd w:id="34"/>
      <w:bookmarkStart w:id="35" w:name="100422"/>
      <w:bookmarkEnd w:id="35"/>
      <w:bookmarkStart w:id="36" w:name="100428"/>
      <w:bookmarkEnd w:id="36"/>
      <w:r>
        <w:rPr>
          <w:sz w:val="23"/>
        </w:rPr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14:paraId="75020000">
      <w:pPr>
        <w:pStyle w:val="Style_7"/>
        <w:spacing w:after="0" w:line="293" w:lineRule="atLeast"/>
        <w:ind w:right="140"/>
        <w:jc w:val="both"/>
        <w:rPr>
          <w:sz w:val="23"/>
        </w:rPr>
      </w:pPr>
      <w:bookmarkStart w:id="37" w:name="100429"/>
      <w:bookmarkEnd w:id="37"/>
      <w:r>
        <w:rPr>
          <w:sz w:val="23"/>
        </w:rPr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14:paraId="76020000">
      <w:pPr>
        <w:pStyle w:val="Style_7"/>
        <w:spacing w:after="0" w:line="293" w:lineRule="atLeast"/>
        <w:ind w:right="140"/>
        <w:jc w:val="both"/>
        <w:rPr>
          <w:sz w:val="23"/>
        </w:rPr>
      </w:pPr>
      <w:bookmarkStart w:id="38" w:name="100430"/>
      <w:bookmarkEnd w:id="38"/>
      <w:r>
        <w:rPr>
          <w:sz w:val="23"/>
        </w:rPr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14:paraId="77020000">
      <w:pPr>
        <w:pStyle w:val="Style_7"/>
        <w:spacing w:after="0" w:line="293" w:lineRule="atLeast"/>
        <w:ind w:firstLine="708" w:left="0" w:right="140"/>
        <w:jc w:val="both"/>
        <w:rPr>
          <w:sz w:val="23"/>
        </w:rPr>
      </w:pPr>
      <w:bookmarkStart w:id="39" w:name="100431"/>
      <w:bookmarkEnd w:id="39"/>
      <w:r>
        <w:rPr>
          <w:sz w:val="23"/>
        </w:rPr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14:paraId="78020000">
      <w:pPr>
        <w:spacing w:line="240" w:lineRule="auto"/>
        <w:ind w:right="140"/>
        <w:contextualSpacing w:val="1"/>
        <w:jc w:val="both"/>
        <w:rPr>
          <w:rFonts w:ascii="Times New Roman" w:hAnsi="Times New Roman"/>
          <w:sz w:val="23"/>
        </w:rPr>
      </w:pPr>
      <w:bookmarkStart w:id="40" w:name="100432"/>
      <w:bookmarkEnd w:id="40"/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В результате реализации</w:t>
      </w:r>
      <w:bookmarkStart w:id="41" w:name="YANDEX_235"/>
      <w:bookmarkEnd w:id="41"/>
      <w:r>
        <w:rPr>
          <w:rFonts w:ascii="Times New Roman" w:hAnsi="Times New Roman"/>
          <w:sz w:val="23"/>
        </w:rPr>
        <w:t xml:space="preserve"> программы ожидается создание условий, обеспечивающих комфортные условия для работы, отдыха и оздоровления населения на</w:t>
      </w:r>
      <w:bookmarkStart w:id="42" w:name="YANDEX_236"/>
      <w:bookmarkEnd w:id="42"/>
      <w:r>
        <w:rPr>
          <w:rFonts w:ascii="Times New Roman" w:hAnsi="Times New Roman"/>
          <w:sz w:val="23"/>
        </w:rPr>
        <w:t xml:space="preserve"> территории</w:t>
      </w:r>
      <w:bookmarkStart w:id="43" w:name="YANDEX_237"/>
      <w:bookmarkEnd w:id="43"/>
      <w:r>
        <w:rPr>
          <w:rFonts w:ascii="Times New Roman" w:hAnsi="Times New Roman"/>
          <w:sz w:val="23"/>
        </w:rPr>
        <w:t xml:space="preserve"> муниципального образования Сосновское сельское поселение.</w:t>
      </w:r>
    </w:p>
    <w:p w14:paraId="79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Сосновского сельского поселения Приозерского муниципального района Ленинградской области, утвержденными Постановлением администрации от 17.12.2021 года № 502.</w:t>
      </w:r>
    </w:p>
    <w:p w14:paraId="7A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Реализация</w:t>
      </w:r>
      <w:bookmarkStart w:id="44" w:name="YANDEX_250"/>
      <w:bookmarkEnd w:id="44"/>
      <w:r>
        <w:rPr>
          <w:rFonts w:ascii="Times New Roman" w:hAnsi="Times New Roman"/>
          <w:sz w:val="23"/>
        </w:rPr>
        <w:t xml:space="preserve"> Программы приведет к улучшению внешнего вида Сосновского сельского поселения и позволит обеспечить население качественными услугами жилищно-коммунального хозяйства.</w:t>
      </w:r>
    </w:p>
    <w:p w14:paraId="7B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</w:p>
    <w:p w14:paraId="7C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</w:p>
    <w:p w14:paraId="7D020000">
      <w:pPr>
        <w:spacing w:after="0" w:line="240" w:lineRule="auto"/>
        <w:ind w:firstLine="540" w:left="0" w:right="14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6. Расходы </w:t>
      </w:r>
    </w:p>
    <w:p w14:paraId="7E020000">
      <w:pPr>
        <w:widowControl w:val="0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реализацию муниципальной программы </w:t>
      </w:r>
    </w:p>
    <w:p w14:paraId="7F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Благоустройство территории муниципального образования </w:t>
      </w:r>
    </w:p>
    <w:p w14:paraId="80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Сосновское сельское поселение на 2025-2030 годы»  </w:t>
      </w:r>
    </w:p>
    <w:p w14:paraId="81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8202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394"/>
        <w:tblLayout w:type="fixed"/>
        <w:tblCellMar>
          <w:left w:type="dxa" w:w="75"/>
          <w:right w:type="dxa" w:w="75"/>
        </w:tblCellMar>
      </w:tblPr>
      <w:tblGrid>
        <w:gridCol w:w="547"/>
        <w:gridCol w:w="2924"/>
        <w:gridCol w:w="1060"/>
        <w:gridCol w:w="896"/>
        <w:gridCol w:w="1004"/>
        <w:gridCol w:w="984"/>
        <w:gridCol w:w="860"/>
        <w:gridCol w:w="560"/>
        <w:gridCol w:w="572"/>
      </w:tblGrid>
      <w:tr>
        <w:tc>
          <w:tcPr>
            <w:tcW w:type="dxa" w:w="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14:paraId="84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строки</w:t>
            </w:r>
          </w:p>
        </w:tc>
        <w:tc>
          <w:tcPr>
            <w:tcW w:type="dxa" w:w="2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Источники финансирования</w:t>
            </w:r>
          </w:p>
        </w:tc>
        <w:tc>
          <w:tcPr>
            <w:tcW w:type="dxa" w:w="10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  <w:p w14:paraId="87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(тыс. рублей)</w:t>
            </w:r>
          </w:p>
        </w:tc>
        <w:tc>
          <w:tcPr>
            <w:tcW w:type="dxa" w:w="48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</w:tr>
      <w:tr>
        <w:trPr>
          <w:trHeight w:hRule="atLeast" w:val="971"/>
        </w:trPr>
        <w:tc>
          <w:tcPr>
            <w:tcW w:type="dxa" w:w="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0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8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8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8B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8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8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 год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8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40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20000">
            <w:pPr>
              <w:pStyle w:val="Style_6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РАСХОДЫ НА РЕАЛИЗАЦИЮ МУНИЦИПАЛЬНОЙ ПРОГРАММЫ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Всего: 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275 195,1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49 545,3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88 049,8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68 800,0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68 800,0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20000">
            <w:pPr>
              <w:pStyle w:val="Style_6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E020000">
            <w:pPr>
              <w:pStyle w:val="Style_6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1 500,0</w:t>
            </w:r>
          </w:p>
          <w:p w14:paraId="B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  <w:p w14:paraId="B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rPr>
          <w:trHeight w:hRule="atLeast" w:val="265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20000">
            <w:pPr>
              <w:pStyle w:val="Style_6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271 495,1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47 345,3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86 549,8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68 800,0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68 800,0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rPr>
          <w:trHeight w:hRule="atLeast" w:val="436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40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КОМПЛЕКС ПРОЦЕССНЫХ МЕРОПРИЯТИЙ «СОВЕРШЕНСТВОВАНИЕ СИСТЕМЫ БЛАГОУСТРОЙСТВА»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224 566,5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44 322,6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49 043,9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65 600,0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2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65 600,0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областного бюджета (плановый </w:t>
            </w:r>
            <w:r>
              <w:rPr>
                <w:rFonts w:ascii="Times New Roman" w:hAnsi="Times New Roman"/>
              </w:rPr>
              <w:t>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3 700,00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2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2 200,0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220 866,5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42 122,6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47 543,9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65 600,0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65 600,0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0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9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B02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Уличное освещение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C02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D02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E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48 783,4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F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17 883,4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5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9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A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48 783,4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17 883,4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2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3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Прочие мероприятия по благоустройству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66 665,9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22 450,5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30 015,4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66 665,9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22 450,5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30 015,4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Организация и содержание мест захоронения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105 222,5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1 672,9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1 149,6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51 200,0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51 200,0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105 222,5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1 672,9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1 149,6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51 200,0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51 200,0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30000">
            <w:pPr>
              <w:pStyle w:val="Style_6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30000">
            <w:pPr>
              <w:pStyle w:val="Style_6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МЕРОПРИЯТИЯМ «</w:t>
            </w:r>
            <w:r>
              <w:rPr>
                <w:rFonts w:ascii="Times New Roman" w:hAnsi="Times New Roman"/>
                <w:b w:val="1"/>
                <w:sz w:val="22"/>
              </w:rPr>
              <w:t>Поддержка развития общественной инфраструктуры муниципального значения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3 894,7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2 315,8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1 578,9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3 700,0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2 200,0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194,7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115,8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30000">
            <w:pPr>
              <w:pStyle w:val="Style_6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6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40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E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«ОХРАНА ОКРУЖАЮЩЕЙ СРЕДЫ»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7 729,4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1 923,6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1 805,8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2 000,0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5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2 000,0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3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7 729,4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1 923,6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1 805,8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40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«Реализация функций в сфере обращения с отходами»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42 199,1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3 199,1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37 000,0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1 000,0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3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1 000,0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3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3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1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4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4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42 199,1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3 199,1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37 000,0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40000">
            <w:pPr>
              <w:pStyle w:val="Style_6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B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D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940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ОТРАСЛЕВОЙ ПРОЕКТ «БЛАГОУСТРОЙСТВО СЕЛЬСКИХ ТЕРРИТОРИЙ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700,0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40000">
            <w:pPr>
              <w:pStyle w:val="Style_6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местного бюджета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1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40000">
            <w:pPr>
              <w:pStyle w:val="Style_6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прочих источников (плановый объем)</w:t>
            </w: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</w:tbl>
    <w:p w14:paraId="4E040000">
      <w:pPr>
        <w:widowControl w:val="0"/>
        <w:ind/>
        <w:rPr>
          <w:rFonts w:ascii="Times New Roman" w:hAnsi="Times New Roman"/>
        </w:rPr>
      </w:pPr>
    </w:p>
    <w:p w14:paraId="4F040000">
      <w:pPr>
        <w:widowControl w:val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  <w:b w:val="1"/>
        </w:rPr>
        <w:t xml:space="preserve"> 7.Срок реализации программы </w:t>
      </w:r>
    </w:p>
    <w:p w14:paraId="50040000">
      <w:pPr>
        <w:widowControl w:val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Срок реализации программы предусмотрен с 1 января 2025 года по 31 декабря 2030 года. </w:t>
      </w:r>
    </w:p>
    <w:p w14:paraId="51040000">
      <w:pPr>
        <w:sectPr>
          <w:pgSz w:h="16838" w:orient="portrait" w:w="11906"/>
          <w:pgMar w:bottom="284" w:footer="709" w:gutter="0" w:header="709" w:left="1418" w:right="567" w:top="425"/>
        </w:sectPr>
      </w:pPr>
    </w:p>
    <w:p w14:paraId="5204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b w:val="1"/>
          <w:sz w:val="24"/>
        </w:rPr>
        <w:t>8. План реализации муниципальной программы</w:t>
      </w:r>
    </w:p>
    <w:p w14:paraId="5304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3"/>
        </w:rPr>
        <w:t>«Благоустройство территории муниципального образования Сосновское сельское поселение на 2025-2030 годы»</w:t>
      </w:r>
    </w:p>
    <w:tbl>
      <w:tblPr>
        <w:tblStyle w:val="Style_2"/>
        <w:tblInd w:type="dxa" w:w="817"/>
        <w:tblLayout w:type="fixed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>
        <w:trPr>
          <w:trHeight w:hRule="atLeast" w:val="495"/>
        </w:trPr>
        <w:tc>
          <w:tcPr>
            <w:tcW w:type="dxa" w:w="3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type="dxa" w:w="12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Годы реализации</w:t>
            </w:r>
          </w:p>
        </w:tc>
        <w:tc>
          <w:tcPr>
            <w:tcW w:type="dxa" w:w="7697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расходов (тыс. руб. в ценах соответствующих лет)</w:t>
            </w:r>
          </w:p>
        </w:tc>
      </w:tr>
      <w:tr>
        <w:trPr>
          <w:trHeight w:hRule="atLeast" w:val="510"/>
        </w:trPr>
        <w:tc>
          <w:tcPr>
            <w:tcW w:type="dxa" w:w="3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</w:tc>
      </w:tr>
    </w:tbl>
    <w:p w14:paraId="5D040000">
      <w:pPr>
        <w:spacing w:after="0" w:line="240" w:lineRule="auto"/>
        <w:ind/>
        <w:rPr>
          <w:rFonts w:ascii="Times New Roman" w:hAnsi="Times New Roman"/>
          <w:sz w:val="4"/>
        </w:rPr>
      </w:pPr>
    </w:p>
    <w:tbl>
      <w:tblPr>
        <w:tblStyle w:val="Style_2"/>
        <w:tblInd w:type="dxa" w:w="817"/>
        <w:tblLayout w:type="fixed"/>
      </w:tblPr>
      <w:tblGrid>
        <w:gridCol w:w="3701"/>
        <w:gridCol w:w="2126"/>
        <w:gridCol w:w="1233"/>
        <w:gridCol w:w="1744"/>
        <w:gridCol w:w="1559"/>
        <w:gridCol w:w="1281"/>
        <w:gridCol w:w="1559"/>
        <w:gridCol w:w="1559"/>
      </w:tblGrid>
      <w:tr>
        <w:trPr>
          <w:trHeight w:hRule="atLeast" w:val="300"/>
          <w:tblHeader/>
        </w:trPr>
        <w:tc>
          <w:tcPr>
            <w:tcW w:type="dxa" w:w="3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8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Программа </w:t>
            </w:r>
            <w:r>
              <w:rPr>
                <w:rFonts w:ascii="Times New Roman" w:hAnsi="Times New Roman"/>
                <w:sz w:val="23"/>
              </w:rPr>
              <w:t>«Благоустройство территории муниципального образования Сосновское сельское поселение на 2025-2030 годы»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49 545,3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47 345,3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88 049,8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86 549,8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1 500,0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68 800,0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68 800,0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68 800,0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68 800,0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51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C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по муниципальной программе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D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 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275 195,1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271 495,1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3 700,0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15"/>
        </w:trPr>
        <w:tc>
          <w:tcPr>
            <w:tcW w:type="dxa" w:w="1476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Проектная часть</w:t>
            </w:r>
          </w:p>
        </w:tc>
      </w:tr>
      <w:tr>
        <w:trPr>
          <w:trHeight w:hRule="atLeast" w:val="379"/>
        </w:trPr>
        <w:tc>
          <w:tcPr>
            <w:tcW w:type="dxa" w:w="14762"/>
            <w:gridSpan w:val="8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Отраслевой проект </w:t>
            </w:r>
            <w:r>
              <w:rPr>
                <w:rFonts w:ascii="Times New Roman" w:hAnsi="Times New Roman"/>
                <w:b w:val="1"/>
                <w:sz w:val="20"/>
              </w:rPr>
              <w:t>«Благоустройство сельских территорий»</w:t>
            </w:r>
          </w:p>
        </w:tc>
      </w:tr>
      <w:tr>
        <w:trPr>
          <w:trHeight w:hRule="atLeast" w:val="379"/>
        </w:trPr>
        <w:tc>
          <w:tcPr>
            <w:tcW w:type="dxa" w:w="37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мероприятий по борьбе с борщевиком Сосновского</w:t>
            </w:r>
          </w:p>
        </w:tc>
        <w:tc>
          <w:tcPr>
            <w:tcW w:type="dxa" w:w="21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79"/>
        </w:trPr>
        <w:tc>
          <w:tcPr>
            <w:tcW w:type="dxa" w:w="3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450"/>
        </w:trPr>
        <w:tc>
          <w:tcPr>
            <w:tcW w:type="dxa" w:w="14762"/>
            <w:gridSpan w:val="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Процессная часть</w:t>
            </w:r>
          </w:p>
        </w:tc>
      </w:tr>
      <w:tr>
        <w:trPr>
          <w:trHeight w:hRule="atLeast" w:val="554"/>
        </w:trPr>
        <w:tc>
          <w:tcPr>
            <w:tcW w:type="dxa" w:w="1476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 «Совершенствование системы благоустройства»</w:t>
            </w:r>
          </w:p>
        </w:tc>
      </w:tr>
      <w:tr>
        <w:trPr>
          <w:trHeight w:hRule="atLeast" w:val="300"/>
        </w:trPr>
        <w:tc>
          <w:tcPr>
            <w:tcW w:type="dxa" w:w="582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«Совершенствование системы благоустройства»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224 566,5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220 866,5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3 700,0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«Уличное освещение»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48 783,4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48 783,4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«Уличное освещение»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40000"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17 883,4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17 883,4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16 300,0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16 300,0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7 300,0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7 300,0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8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7 300,0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7 300,0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48 783,4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48 783,4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Прочие мероприятия по благоустройству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66 665,9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66 665,9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мероприятия по благоустройству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22 450,5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22 450,5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30 015,4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30 015,4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66 665,9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66 665,9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Организация и содержание мест захоронения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105 222,5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105 222,5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содержание мест захоронения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1 672,9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1 672,9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5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1 149,6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505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1 149,6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51 200,0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51 200,0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51 200,0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51 200,0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105 222,5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105 222,5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 w14:paraId="6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3 894,7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194,7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 w14:paraId="6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3 700,0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73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Мероприятия, направленные на поддержку общественной инфраструктуры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2 315,8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115,8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2 200,0</w:t>
            </w:r>
          </w:p>
        </w:tc>
        <w:tc>
          <w:tcPr>
            <w:tcW w:type="dxa" w:w="1559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sz w:val="20"/>
              </w:rPr>
              <w:t xml:space="preserve"> 578,9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78,9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1 500,0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3 894,7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194,7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3 700,0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446"/>
        </w:trPr>
        <w:tc>
          <w:tcPr>
            <w:tcW w:type="dxa" w:w="1476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  <w:sz w:val="20"/>
              </w:rPr>
              <w:t>«Охрана окружающей среды»</w:t>
            </w:r>
          </w:p>
        </w:tc>
      </w:tr>
      <w:tr>
        <w:trPr>
          <w:trHeight w:hRule="atLeast" w:val="300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C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Охрана окружающей среды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7 729,4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7 729,4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охране окружающей среды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1 923,6</w:t>
            </w:r>
          </w:p>
        </w:tc>
        <w:tc>
          <w:tcPr>
            <w:tcW w:type="dxa" w:w="1559"/>
            <w:tcBorders>
              <w:top w:sz="4" w:val="nil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1 923,6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1 805,8</w:t>
            </w:r>
          </w:p>
        </w:tc>
        <w:tc>
          <w:tcPr>
            <w:tcW w:type="dxa" w:w="1559"/>
            <w:tcBorders>
              <w:top w:sz="4" w:val="nil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1 805,8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</w:t>
            </w:r>
          </w:p>
        </w:tc>
        <w:tc>
          <w:tcPr>
            <w:tcW w:type="dxa" w:w="1559"/>
            <w:tcBorders>
              <w:top w:sz="4" w:val="nil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2 000,0</w:t>
            </w:r>
          </w:p>
        </w:tc>
        <w:tc>
          <w:tcPr>
            <w:tcW w:type="dxa" w:w="155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2 000,0</w:t>
            </w:r>
          </w:p>
        </w:tc>
        <w:tc>
          <w:tcPr>
            <w:tcW w:type="dxa" w:w="128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52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7 729,4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7 729,4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14762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</w:rPr>
              <w:t>«Реализация функций в сфере обращения с отходами»</w:t>
            </w:r>
          </w:p>
        </w:tc>
      </w:tr>
      <w:tr>
        <w:trPr>
          <w:trHeight w:hRule="atLeast" w:val="852"/>
        </w:trPr>
        <w:tc>
          <w:tcPr>
            <w:tcW w:type="dxa" w:w="3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5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Мероприятия в области жилищно-коммунального хозяйства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  ЖКХ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42 199,1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42 199,1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в области жилищно-коммунального хозяйства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50000"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3 199,1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3 199,1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37 000,0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37 000,0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1 000,0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1 000,0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1 000,0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2025 - 2030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42 199,1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42 199,1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</w:tbl>
    <w:p w14:paraId="0506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pgSz w:h="11906" w:orient="landscape" w:w="16838"/>
      <w:pgMar w:bottom="567" w:footer="709" w:gutter="0" w:header="709" w:left="284" w:right="425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8" w:type="paragraph">
    <w:name w:val="toc 2"/>
    <w:next w:val="Style_3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List Paragraph"/>
    <w:basedOn w:val="Style_3"/>
    <w:link w:val="Style_10_ch"/>
    <w:pPr>
      <w:ind w:firstLine="0" w:left="720"/>
    </w:pPr>
  </w:style>
  <w:style w:styleId="Style_10_ch" w:type="character">
    <w:name w:val="List Paragraph"/>
    <w:basedOn w:val="Style_3_ch"/>
    <w:link w:val="Style_10"/>
  </w:style>
  <w:style w:styleId="Style_11" w:type="paragraph">
    <w:name w:val="rvts6"/>
    <w:basedOn w:val="Style_12"/>
    <w:link w:val="Style_11_ch"/>
  </w:style>
  <w:style w:styleId="Style_11_ch" w:type="character">
    <w:name w:val="rvts6"/>
    <w:basedOn w:val="Style_12_ch"/>
    <w:link w:val="Style_11"/>
  </w:style>
  <w:style w:styleId="Style_13" w:type="paragraph">
    <w:name w:val="toc 6"/>
    <w:next w:val="Style_3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5_ch" w:type="character">
    <w:name w:val="heading 3"/>
    <w:basedOn w:val="Style_3_ch"/>
    <w:link w:val="Style_15"/>
    <w:rPr>
      <w:rFonts w:ascii="Cambria" w:hAnsi="Cambria"/>
      <w:b w:val="1"/>
      <w:sz w:val="26"/>
    </w:rPr>
  </w:style>
  <w:style w:styleId="Style_16" w:type="paragraph">
    <w:name w:val="ConsPlusNormal"/>
    <w:link w:val="Style_16_ch"/>
    <w:pPr>
      <w:widowControl w:val="0"/>
      <w:ind w:firstLine="720" w:left="0"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Balloon Text"/>
    <w:basedOn w:val="Style_3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6" w:type="paragraph">
    <w:name w:val="ConsPlusCel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Cell"/>
    <w:link w:val="Style_6"/>
    <w:rPr>
      <w:rFonts w:ascii="Arial" w:hAnsi="Arial"/>
    </w:rPr>
  </w:style>
  <w:style w:styleId="Style_18" w:type="paragraph">
    <w:name w:val="Body Text 2"/>
    <w:basedOn w:val="Style_3"/>
    <w:link w:val="Style_18_ch"/>
    <w:pPr>
      <w:spacing w:after="0" w:line="240" w:lineRule="auto"/>
      <w:ind/>
      <w:jc w:val="both"/>
    </w:pPr>
    <w:rPr>
      <w:sz w:val="24"/>
    </w:rPr>
  </w:style>
  <w:style w:styleId="Style_18_ch" w:type="character">
    <w:name w:val="Body Text 2"/>
    <w:basedOn w:val="Style_3_ch"/>
    <w:link w:val="Style_18"/>
    <w:rPr>
      <w:sz w:val="24"/>
    </w:rPr>
  </w:style>
  <w:style w:styleId="Style_19" w:type="paragraph">
    <w:name w:val="toc 3"/>
    <w:next w:val="Style_3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Знак"/>
    <w:basedOn w:val="Style_3"/>
    <w:link w:val="Style_21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21_ch" w:type="character">
    <w:name w:val="Знак"/>
    <w:basedOn w:val="Style_3_ch"/>
    <w:link w:val="Style_21"/>
    <w:rPr>
      <w:rFonts w:ascii="Times New Roman" w:hAnsi="Times New Roman"/>
      <w:sz w:val="20"/>
    </w:rPr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Знак Знак Знак Знак"/>
    <w:basedOn w:val="Style_3"/>
    <w:link w:val="Style_23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3_ch" w:type="character">
    <w:name w:val="Знак Знак Знак Знак"/>
    <w:basedOn w:val="Style_3_ch"/>
    <w:link w:val="Style_23"/>
    <w:rPr>
      <w:rFonts w:ascii="Verdana" w:hAnsi="Verdana"/>
      <w:sz w:val="20"/>
    </w:rPr>
  </w:style>
  <w:style w:styleId="Style_24" w:type="paragraph">
    <w:name w:val="heading 1"/>
    <w:basedOn w:val="Style_3"/>
    <w:next w:val="Style_3"/>
    <w:link w:val="Style_24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24_ch" w:type="character">
    <w:name w:val="heading 1"/>
    <w:basedOn w:val="Style_3_ch"/>
    <w:link w:val="Style_24"/>
    <w:rPr>
      <w:rFonts w:ascii="Times New Roman" w:hAnsi="Times New Roman"/>
      <w:b w:val="1"/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3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7" w:type="paragraph">
    <w:name w:val="pboth"/>
    <w:basedOn w:val="Style_3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pboth"/>
    <w:basedOn w:val="Style_3_ch"/>
    <w:link w:val="Style_7"/>
    <w:rPr>
      <w:rFonts w:ascii="Times New Roman" w:hAnsi="Times New Roman"/>
      <w:sz w:val="24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Normal (Web)"/>
    <w:basedOn w:val="Style_3"/>
    <w:link w:val="Style_29_ch"/>
    <w:pPr>
      <w:spacing w:after="21" w:before="21" w:line="240" w:lineRule="auto"/>
      <w:ind/>
    </w:pPr>
    <w:rPr>
      <w:rFonts w:ascii="Arial" w:hAnsi="Arial"/>
      <w:color w:val="332E2D"/>
      <w:spacing w:val="2"/>
      <w:sz w:val="24"/>
    </w:rPr>
  </w:style>
  <w:style w:styleId="Style_29_ch" w:type="character">
    <w:name w:val="Normal (Web)"/>
    <w:basedOn w:val="Style_3_ch"/>
    <w:link w:val="Style_29"/>
    <w:rPr>
      <w:rFonts w:ascii="Arial" w:hAnsi="Arial"/>
      <w:color w:val="332E2D"/>
      <w:spacing w:val="2"/>
      <w:sz w:val="24"/>
    </w:rPr>
  </w:style>
  <w:style w:styleId="Style_30" w:type="paragraph">
    <w:name w:val="toc 9"/>
    <w:next w:val="Style_3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Normal"/>
    <w:link w:val="Style_31_ch"/>
    <w:pPr>
      <w:widowControl w:val="0"/>
      <w:ind w:firstLine="720" w:left="0"/>
    </w:pPr>
    <w:rPr>
      <w:rFonts w:ascii="Arial" w:hAnsi="Arial"/>
    </w:rPr>
  </w:style>
  <w:style w:styleId="Style_31_ch" w:type="character">
    <w:name w:val="ConsNormal"/>
    <w:link w:val="Style_31"/>
    <w:rPr>
      <w:rFonts w:ascii="Arial" w:hAnsi="Arial"/>
    </w:rPr>
  </w:style>
  <w:style w:styleId="Style_32" w:type="paragraph">
    <w:name w:val="Обычный1"/>
    <w:link w:val="Style_32_ch"/>
    <w:rPr>
      <w:sz w:val="22"/>
    </w:rPr>
  </w:style>
  <w:style w:styleId="Style_32_ch" w:type="character">
    <w:name w:val="Обычный1"/>
    <w:link w:val="Style_32"/>
    <w:rPr>
      <w:sz w:val="22"/>
    </w:rPr>
  </w:style>
  <w:style w:styleId="Style_33" w:type="paragraph">
    <w:name w:val="ConsPlusTitle"/>
    <w:link w:val="Style_33_ch"/>
    <w:pPr>
      <w:widowControl w:val="0"/>
      <w:ind/>
    </w:pPr>
    <w:rPr>
      <w:rFonts w:ascii="Arial" w:hAnsi="Arial"/>
      <w:b w:val="1"/>
    </w:rPr>
  </w:style>
  <w:style w:styleId="Style_33_ch" w:type="character">
    <w:name w:val="ConsPlusTitle"/>
    <w:link w:val="Style_33"/>
    <w:rPr>
      <w:rFonts w:ascii="Arial" w:hAnsi="Arial"/>
      <w:b w:val="1"/>
    </w:rPr>
  </w:style>
  <w:style w:styleId="Style_34" w:type="paragraph">
    <w:name w:val="toc 8"/>
    <w:next w:val="Style_3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3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spacing w:after="0" w:line="240" w:lineRule="auto"/>
      <w:ind/>
    </w:pPr>
    <w:rPr>
      <w:sz w:val="24"/>
    </w:rPr>
  </w:style>
  <w:style w:styleId="Style_1_ch" w:type="character">
    <w:name w:val="header"/>
    <w:basedOn w:val="Style_3_ch"/>
    <w:link w:val="Style_1"/>
    <w:rPr>
      <w:sz w:val="24"/>
    </w:rPr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Абзац списка1"/>
    <w:basedOn w:val="Style_32"/>
    <w:link w:val="Style_37_ch"/>
    <w:rPr>
      <w:sz w:val="22"/>
    </w:rPr>
  </w:style>
  <w:style w:styleId="Style_37_ch" w:type="character">
    <w:name w:val="Абзац списка1"/>
    <w:basedOn w:val="Style_32_ch"/>
    <w:link w:val="Style_37"/>
    <w:rPr>
      <w:sz w:val="22"/>
    </w:rPr>
  </w:style>
  <w:style w:styleId="Style_38" w:type="paragraph">
    <w:name w:val="Title"/>
    <w:next w:val="Style_3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basedOn w:val="Style_3"/>
    <w:next w:val="Style_3"/>
    <w:link w:val="Style_39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9_ch" w:type="character">
    <w:name w:val="heading 4"/>
    <w:basedOn w:val="Style_3_ch"/>
    <w:link w:val="Style_39"/>
    <w:rPr>
      <w:b w:val="1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2026-04-29T13:45:34Z</dcterms:modified>
</cp:coreProperties>
</file>