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300"/>
        <w:ind w:firstLine="0" w:left="0"/>
        <w:jc w:val="center"/>
        <w:rPr>
          <w:b w:val="1"/>
        </w:rPr>
      </w:pPr>
      <w:r>
        <w:rPr>
          <w:rFonts w:ascii="Microsoft Sans Serif" w:hAnsi="Microsoft Sans Serif"/>
          <w:b w:val="1"/>
          <w:sz w:val="24"/>
        </w:rPr>
        <w:drawing>
          <wp:inline>
            <wp:extent cx="590550" cy="70358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035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after="300"/>
        <w:ind w:firstLine="0" w:left="0"/>
        <w:jc w:val="center"/>
        <w:rPr>
          <w:sz w:val="28"/>
        </w:rPr>
      </w:pPr>
      <w:r>
        <w:rPr>
          <w:b w:val="1"/>
        </w:rPr>
        <w:t>АДМИНИСТРАЦИЯ</w:t>
      </w:r>
      <w:r>
        <w:rPr>
          <w:b w:val="1"/>
        </w:rPr>
        <w:br/>
      </w:r>
      <w:r>
        <w:rPr>
          <w:b w:val="1"/>
        </w:rPr>
        <w:t>СОСНОВСКОЕ СЕЛЬСКОЕ ПОСЕЛЕНИЕ</w:t>
      </w:r>
      <w:r>
        <w:rPr>
          <w:b w:val="1"/>
        </w:rPr>
        <w:br/>
      </w:r>
      <w:r>
        <w:rPr>
          <w:b w:val="1"/>
        </w:rPr>
        <w:t>ПРИОЗЕРСКИЙ МУНИЦИПАЛЬНЫЙ РАЙОН</w:t>
      </w:r>
      <w:r>
        <w:rPr>
          <w:b w:val="1"/>
        </w:rPr>
        <w:br/>
      </w:r>
      <w:r>
        <w:rPr>
          <w:b w:val="1"/>
        </w:rPr>
        <w:t>ЛЕНИНГРАДСКОЙ ОБЛАСТИ</w:t>
      </w:r>
      <w:r>
        <w:rPr>
          <w:b w:val="1"/>
        </w:rPr>
        <w:br/>
      </w:r>
    </w:p>
    <w:p w14:paraId="03000000">
      <w:pPr>
        <w:pStyle w:val="Style_1"/>
        <w:spacing w:after="300"/>
        <w:ind w:firstLine="0" w:left="0"/>
        <w:jc w:val="center"/>
        <w:rPr>
          <w:sz w:val="28"/>
        </w:rPr>
      </w:pPr>
      <w:r>
        <w:rPr>
          <w:b w:val="1"/>
          <w:sz w:val="28"/>
        </w:rPr>
        <w:t>ПОСТАНОВЛЕНИЕ</w:t>
      </w:r>
    </w:p>
    <w:p w14:paraId="04000000">
      <w:pPr>
        <w:pStyle w:val="Style_1"/>
        <w:spacing w:after="240"/>
        <w:ind w:firstLine="0" w:left="0"/>
        <w:rPr/>
      </w:pPr>
      <w:r>
        <w:rPr/>
        <w:t xml:space="preserve">от </w:t>
      </w:r>
      <w:r>
        <w:rPr/>
        <w:t>03 февраля 2026</w:t>
      </w:r>
      <w:r>
        <w:rPr/>
        <w:t xml:space="preserve"> года                                                                                                                        № </w:t>
      </w:r>
      <w:r>
        <w:rPr/>
        <w:t>49</w:t>
      </w:r>
    </w:p>
    <w:p w14:paraId="05000000">
      <w:pPr>
        <w:pStyle w:val="Style_1"/>
        <w:spacing w:line="228" w:lineRule="auto"/>
        <w:ind w:firstLine="0" w:left="0"/>
      </w:pPr>
      <w:r>
        <w:t>О внесении изменений в утверждённую муниципальную программу</w:t>
      </w:r>
    </w:p>
    <w:p w14:paraId="06000000">
      <w:pPr>
        <w:pStyle w:val="Style_1"/>
        <w:spacing w:line="228" w:lineRule="auto"/>
        <w:ind w:firstLine="0" w:left="0"/>
      </w:pPr>
      <w:r>
        <w:t xml:space="preserve">№ 370 от 22.09.2023 г. </w:t>
      </w:r>
    </w:p>
    <w:p w14:paraId="07000000">
      <w:pPr>
        <w:pStyle w:val="Style_1"/>
        <w:spacing w:line="228" w:lineRule="auto"/>
        <w:ind w:firstLine="0" w:left="0"/>
      </w:pPr>
      <w:r>
        <w:t>«Развитие муниципальной служ</w:t>
      </w:r>
      <w:r>
        <w:t>бы в муниципальном</w:t>
      </w:r>
    </w:p>
    <w:p w14:paraId="08000000">
      <w:pPr>
        <w:pStyle w:val="Style_1"/>
        <w:spacing w:line="228" w:lineRule="auto"/>
        <w:ind w:firstLine="0" w:left="0"/>
      </w:pPr>
      <w:r>
        <w:t xml:space="preserve"> образовании Сосновское сельское поселение муниципального </w:t>
      </w:r>
    </w:p>
    <w:p w14:paraId="09000000">
      <w:pPr>
        <w:pStyle w:val="Style_1"/>
        <w:spacing w:line="228" w:lineRule="auto"/>
        <w:ind w:firstLine="0" w:left="0"/>
      </w:pPr>
      <w:r>
        <w:t xml:space="preserve">образования Приозерский муниципальный район </w:t>
      </w:r>
    </w:p>
    <w:p w14:paraId="0A000000">
      <w:pPr>
        <w:pStyle w:val="Style_1"/>
        <w:spacing w:line="228" w:lineRule="auto"/>
        <w:ind w:firstLine="0" w:left="0"/>
      </w:pPr>
      <w:r>
        <w:t>Ленинградской области на 2025-2030 годы»</w:t>
      </w:r>
    </w:p>
    <w:p w14:paraId="0B000000">
      <w:pPr>
        <w:pStyle w:val="Style_1"/>
        <w:spacing w:line="228" w:lineRule="auto"/>
        <w:ind w:firstLine="0" w:left="0"/>
      </w:pPr>
    </w:p>
    <w:p w14:paraId="0C000000">
      <w:pPr>
        <w:pStyle w:val="Style_1"/>
        <w:spacing w:after="180"/>
        <w:ind w:firstLine="600" w:left="0"/>
        <w:jc w:val="both"/>
        <w:rPr/>
      </w:pPr>
      <w:r>
        <w:t>В соответствии с Федеральным законом от 06.10.2003г. № 131-ФЗ «Об общих принципах организац</w:t>
      </w:r>
      <w:r>
        <w:t>ии местного самоуправления в РФ», со ст. 35 Федерального закона от 02 марта 2007 года № 25-ФЗ «О муниципальной службе в Российской Федерации», п. 7 Указа Президента Российской Федерации от 10 марта 2009 года № 261 «О федеральной программе «Реформирование и</w:t>
      </w:r>
      <w:r>
        <w:t xml:space="preserve"> развитие системы государственной службы Российской Федерации», Постановлением администрации муниципального образования Сосновское сельское поселение от 17.12.2021 № 502 «Об утверждении Порядка разработки, реализации и оценки эффективности муниципальных пр</w:t>
      </w:r>
      <w:r>
        <w:t>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в целях повышения квалификации и профессиональной переподготовки муниципальных служащих и повышения эффективн</w:t>
      </w:r>
      <w:r>
        <w:t>ости деятельности муниципальных сл</w:t>
      </w:r>
      <w:r>
        <w:rPr/>
        <w:t xml:space="preserve">ужащих, администрация Сосновское сельское поселение </w:t>
      </w:r>
      <w:r>
        <w:rPr>
          <w:b w:val="1"/>
        </w:rPr>
        <w:t>ПОСТАНОВЛЯЕТ:</w:t>
      </w:r>
    </w:p>
    <w:p w14:paraId="0D000000">
      <w:pPr>
        <w:pStyle w:val="Style_1"/>
        <w:numPr>
          <w:ilvl w:val="0"/>
          <w:numId w:val="1"/>
        </w:numPr>
        <w:tabs>
          <w:tab w:leader="none" w:pos="874" w:val="left"/>
        </w:tabs>
        <w:ind w:firstLine="600" w:left="0"/>
        <w:jc w:val="both"/>
        <w:rPr/>
      </w:pPr>
      <w:bookmarkStart w:id="1" w:name="bookmark0"/>
      <w:bookmarkEnd w:id="1"/>
      <w:r>
        <w:rPr/>
        <w:t>Внести изменения на ос</w:t>
      </w:r>
      <w:r>
        <w:rPr/>
        <w:t>новании решения Совета Депутатов Сосновского сельского поселения Ленинградской области «О бюджете Сосновского сельского поселения П</w:t>
      </w:r>
      <w:r>
        <w:rPr/>
        <w:t>риозерского муниципального района Ленинградской области на 2025 год и плановый период 202</w:t>
      </w:r>
      <w:r>
        <w:rPr/>
        <w:t>7</w:t>
      </w:r>
      <w:r>
        <w:rPr/>
        <w:t>-202</w:t>
      </w:r>
      <w:r>
        <w:rPr/>
        <w:t>8</w:t>
      </w:r>
      <w:r>
        <w:rPr/>
        <w:t xml:space="preserve"> гг.» № </w:t>
      </w:r>
      <w:r>
        <w:rPr/>
        <w:t>53</w:t>
      </w:r>
      <w:r>
        <w:rPr/>
        <w:t xml:space="preserve"> от 24 декабря 2025 г.</w:t>
      </w:r>
      <w:r>
        <w:rPr/>
        <w:t xml:space="preserve"> в муниципальную программу «Развитие муниципальной службы в муниципальном образовании Сосновское сельское поселение муниципальног</w:t>
      </w:r>
      <w:r>
        <w:rPr/>
        <w:t>о образования Приозерский муниципальный район Ленинградской области на 2025-2030 годы» № 370 от 22 сентября 2023 года согласно приложению к настоящему постановлению.</w:t>
      </w:r>
    </w:p>
    <w:p w14:paraId="0E000000">
      <w:pPr>
        <w:pStyle w:val="Style_1"/>
        <w:numPr>
          <w:ilvl w:val="0"/>
          <w:numId w:val="1"/>
        </w:numPr>
        <w:tabs>
          <w:tab w:leader="none" w:pos="871" w:val="left"/>
        </w:tabs>
        <w:ind w:firstLine="600" w:left="0"/>
        <w:jc w:val="both"/>
      </w:pPr>
      <w:bookmarkStart w:id="2" w:name="bookmark1"/>
      <w:bookmarkEnd w:id="2"/>
      <w:r>
        <w:t>Финансирование мероприятий муниципальной программы «Развитие муниципальной службы в муници</w:t>
      </w:r>
      <w:r>
        <w:t>пальном образовании Сосновское сельское поселение муниципального образования Приозерский муниципальный район Ленинградской области на 2025-2030 годы», производить в пределах ассигнований, предусмотренных на эти цели в бюджете Сосновского сельского поселени</w:t>
      </w:r>
      <w:r>
        <w:t>я на соответствующий финансовый год.</w:t>
      </w:r>
      <w:bookmarkStart w:id="3" w:name="bookmark2"/>
      <w:bookmarkEnd w:id="3"/>
    </w:p>
    <w:p w14:paraId="0F000000">
      <w:pPr>
        <w:pStyle w:val="Style_1"/>
        <w:numPr>
          <w:ilvl w:val="0"/>
          <w:numId w:val="1"/>
        </w:numPr>
        <w:tabs>
          <w:tab w:leader="none" w:pos="871" w:val="left"/>
        </w:tabs>
        <w:ind w:firstLine="600" w:left="0"/>
        <w:jc w:val="both"/>
      </w:pPr>
      <w:bookmarkStart w:id="4" w:name="bookmark3"/>
      <w:bookmarkEnd w:id="4"/>
      <w:r>
        <w:t>Настоящее постановление вступает в силу со дня официального опубликования в средствах массовой информации.</w:t>
      </w:r>
    </w:p>
    <w:p w14:paraId="10000000">
      <w:pPr>
        <w:pStyle w:val="Style_1"/>
        <w:numPr>
          <w:ilvl w:val="0"/>
          <w:numId w:val="1"/>
        </w:numPr>
        <w:tabs>
          <w:tab w:leader="none" w:pos="871" w:val="left"/>
        </w:tabs>
        <w:ind w:firstLine="600" w:left="0"/>
        <w:jc w:val="both"/>
      </w:pPr>
      <w:r>
        <w:t>Настоящее постановление подлежит размещению на официальном сайте администрации Сосновское сельское поселение При</w:t>
      </w:r>
      <w:r>
        <w:t>озерский муниципальный район Ленинградской области в сети интернет.</w:t>
      </w:r>
    </w:p>
    <w:p w14:paraId="11000000">
      <w:pPr>
        <w:pStyle w:val="Style_1"/>
        <w:numPr>
          <w:ilvl w:val="0"/>
          <w:numId w:val="1"/>
        </w:numPr>
        <w:tabs>
          <w:tab w:leader="none" w:pos="871" w:val="left"/>
        </w:tabs>
        <w:ind w:firstLine="600" w:left="0"/>
        <w:jc w:val="both"/>
      </w:pPr>
      <w:r>
        <w:t>Контроль за исполнением настоящего распоряжения оставляю за собой.</w:t>
      </w:r>
    </w:p>
    <w:p w14:paraId="12000000">
      <w:pPr>
        <w:pStyle w:val="Style_2"/>
        <w:spacing w:after="0" w:line="240" w:lineRule="auto"/>
        <w:ind/>
        <w:rPr>
          <w:sz w:val="24"/>
        </w:rPr>
      </w:pPr>
    </w:p>
    <w:p w14:paraId="13000000">
      <w:pPr>
        <w:pStyle w:val="Style_2"/>
        <w:spacing w:after="0" w:line="240" w:lineRule="auto"/>
        <w:ind/>
        <w:rPr>
          <w:sz w:val="24"/>
        </w:rPr>
      </w:pPr>
    </w:p>
    <w:p w14:paraId="14000000">
      <w:pPr>
        <w:pStyle w:val="Style_2"/>
        <w:spacing w:after="0" w:line="240" w:lineRule="auto"/>
        <w:ind/>
        <w:rPr>
          <w:sz w:val="24"/>
        </w:rPr>
      </w:pPr>
    </w:p>
    <w:p w14:paraId="15000000">
      <w:pPr>
        <w:pStyle w:val="Style_2"/>
        <w:spacing w:after="0" w:line="240" w:lineRule="auto"/>
        <w:ind/>
        <w:rPr>
          <w:sz w:val="24"/>
        </w:rPr>
      </w:pPr>
      <w:r>
        <w:rPr>
          <w:sz w:val="24"/>
        </w:rPr>
        <w:t xml:space="preserve">Глава администрации                                                                                             С.Н. </w:t>
      </w:r>
      <w:r>
        <w:rPr>
          <w:sz w:val="24"/>
        </w:rPr>
        <w:t>Шаров</w:t>
      </w:r>
    </w:p>
    <w:p w14:paraId="16000000">
      <w:pPr>
        <w:pStyle w:val="Style_2"/>
        <w:spacing w:after="0" w:line="240" w:lineRule="auto"/>
        <w:ind/>
        <w:rPr>
          <w:sz w:val="24"/>
        </w:rPr>
      </w:pPr>
    </w:p>
    <w:p w14:paraId="17000000">
      <w:pPr>
        <w:pStyle w:val="Style_2"/>
        <w:spacing w:after="0" w:line="240" w:lineRule="auto"/>
        <w:ind/>
        <w:rPr>
          <w:sz w:val="24"/>
        </w:rPr>
      </w:pPr>
    </w:p>
    <w:p w14:paraId="18000000">
      <w:pPr>
        <w:pStyle w:val="Style_2"/>
        <w:spacing w:after="0" w:line="240" w:lineRule="auto"/>
        <w:ind/>
        <w:rPr>
          <w:sz w:val="24"/>
        </w:rPr>
      </w:pPr>
    </w:p>
    <w:p w14:paraId="19000000">
      <w:pPr>
        <w:pStyle w:val="Style_2"/>
        <w:spacing w:after="0" w:line="240" w:lineRule="auto"/>
        <w:ind/>
        <w:rPr>
          <w:sz w:val="24"/>
        </w:rPr>
      </w:pPr>
    </w:p>
    <w:p w14:paraId="1A000000">
      <w:pPr>
        <w:pStyle w:val="Style_2"/>
        <w:spacing w:after="0" w:line="240" w:lineRule="auto"/>
        <w:ind/>
        <w:rPr>
          <w:sz w:val="24"/>
        </w:rPr>
      </w:pPr>
    </w:p>
    <w:p w14:paraId="1B000000">
      <w:pPr>
        <w:pStyle w:val="Style_2"/>
        <w:spacing w:after="0" w:line="240" w:lineRule="auto"/>
        <w:ind/>
        <w:rPr>
          <w:sz w:val="24"/>
        </w:rPr>
      </w:pPr>
    </w:p>
    <w:p w14:paraId="1C000000">
      <w:pPr>
        <w:pStyle w:val="Style_2"/>
        <w:spacing w:after="0" w:line="240" w:lineRule="auto"/>
        <w:ind/>
        <w:rPr>
          <w:sz w:val="24"/>
        </w:rPr>
      </w:pPr>
    </w:p>
    <w:p w14:paraId="1D000000">
      <w:pPr>
        <w:pStyle w:val="Style_2"/>
        <w:spacing w:after="0" w:line="240" w:lineRule="auto"/>
        <w:ind/>
        <w:rPr>
          <w:sz w:val="24"/>
        </w:rPr>
      </w:pPr>
    </w:p>
    <w:p w14:paraId="1E000000">
      <w:pPr>
        <w:pStyle w:val="Style_2"/>
        <w:spacing w:after="0" w:line="240" w:lineRule="auto"/>
        <w:ind/>
      </w:pPr>
    </w:p>
    <w:p w14:paraId="1F000000">
      <w:pPr>
        <w:pStyle w:val="Style_2"/>
        <w:spacing w:after="0" w:line="240" w:lineRule="auto"/>
        <w:ind/>
      </w:pPr>
      <w:r>
        <w:t>Исп. Пичугина О.А. - 61-370</w:t>
      </w:r>
    </w:p>
    <w:p w14:paraId="20000000">
      <w:pPr>
        <w:pStyle w:val="Style_2"/>
        <w:spacing w:after="240"/>
        <w:ind/>
      </w:pPr>
      <w:r>
        <w:t xml:space="preserve">Разослано: дело-2, </w:t>
      </w:r>
      <w:r>
        <w:t>Прокуратура.-</w:t>
      </w:r>
      <w:r>
        <w:t xml:space="preserve">1, </w:t>
      </w:r>
      <w:r>
        <w:t>KCO</w:t>
      </w:r>
      <w:r>
        <w:t xml:space="preserve"> -1, </w:t>
      </w:r>
      <w:r>
        <w:t>ФЭО</w:t>
      </w:r>
      <w:r>
        <w:t xml:space="preserve"> - 1</w:t>
      </w:r>
    </w:p>
    <w:p w14:paraId="21000000">
      <w:pPr>
        <w:sectPr>
          <w:pgSz w:h="20160" w:orient="portrait" w:w="12240"/>
          <w:pgMar w:bottom="1588" w:footer="1160" w:gutter="0" w:header="1160" w:left="1697" w:right="632" w:top="567"/>
          <w:pgNumType w:start="1"/>
        </w:sectPr>
      </w:pPr>
    </w:p>
    <w:p w14:paraId="22000000">
      <w:pPr>
        <w:pStyle w:val="Style_3"/>
        <w:spacing w:after="0"/>
        <w:ind/>
        <w:rPr>
          <w:b w:val="0"/>
        </w:rPr>
      </w:pPr>
      <w:r>
        <w:rPr>
          <w:b w:val="0"/>
        </w:rPr>
        <w:t xml:space="preserve">Приложение к Постановлению администрации </w:t>
      </w:r>
    </w:p>
    <w:p w14:paraId="23000000">
      <w:pPr>
        <w:pStyle w:val="Style_3"/>
        <w:spacing w:after="0"/>
        <w:ind/>
        <w:rPr>
          <w:b w:val="0"/>
        </w:rPr>
      </w:pPr>
      <w:r>
        <w:rPr>
          <w:b w:val="0"/>
        </w:rPr>
        <w:t xml:space="preserve">Сосновское сельское поселение </w:t>
      </w:r>
    </w:p>
    <w:p w14:paraId="24000000">
      <w:pPr>
        <w:pStyle w:val="Style_3"/>
        <w:spacing w:after="0"/>
        <w:ind/>
        <w:rPr>
          <w:b w:val="0"/>
        </w:rPr>
      </w:pPr>
      <w:r>
        <w:rPr>
          <w:b w:val="0"/>
        </w:rPr>
        <w:t>Приозерский муниципальный район Ленинградской области</w:t>
      </w:r>
    </w:p>
    <w:p w14:paraId="25000000">
      <w:pPr>
        <w:pStyle w:val="Style_3"/>
        <w:spacing w:after="0"/>
        <w:ind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от </w:t>
      </w:r>
      <w:r>
        <w:rPr>
          <w:b w:val="0"/>
        </w:rPr>
        <w:t>03 февраля 2026</w:t>
      </w:r>
      <w:r>
        <w:rPr>
          <w:b w:val="0"/>
        </w:rPr>
        <w:t xml:space="preserve"> г. № </w:t>
      </w:r>
      <w:r>
        <w:rPr>
          <w:b w:val="0"/>
        </w:rPr>
        <w:t>49</w:t>
      </w:r>
    </w:p>
    <w:p w14:paraId="26000000">
      <w:pPr>
        <w:pStyle w:val="Style_4"/>
        <w:spacing w:after="5040"/>
        <w:ind/>
      </w:pPr>
      <w:r>
        <w:t>Муниципальная программа</w:t>
      </w:r>
      <w:r>
        <w:br/>
      </w:r>
      <w:r>
        <w:t>«Развитие муниципальной службы</w:t>
      </w:r>
      <w:r>
        <w:br/>
      </w:r>
      <w:r>
        <w:t>в муниципальном образовании Сосновское сельское поселение</w:t>
      </w:r>
      <w:r>
        <w:br/>
      </w:r>
      <w:r>
        <w:t>муниципального образования Приозерский муниципальный район</w:t>
      </w:r>
      <w:r>
        <w:br/>
      </w:r>
      <w:r>
        <w:t>Ленинградской области на 2025-2030 годы»</w:t>
      </w:r>
    </w:p>
    <w:p w14:paraId="27000000">
      <w:pPr>
        <w:pStyle w:val="Style_1"/>
        <w:spacing w:line="216" w:lineRule="auto"/>
        <w:ind w:firstLine="0" w:left="0"/>
      </w:pPr>
    </w:p>
    <w:p w14:paraId="28000000">
      <w:pPr>
        <w:pStyle w:val="Style_1"/>
        <w:spacing w:line="216" w:lineRule="auto"/>
        <w:ind w:firstLine="0" w:left="0"/>
      </w:pPr>
    </w:p>
    <w:p w14:paraId="29000000">
      <w:pPr>
        <w:pStyle w:val="Style_1"/>
        <w:spacing w:line="216" w:lineRule="auto"/>
        <w:ind w:firstLine="0" w:left="0"/>
      </w:pPr>
    </w:p>
    <w:p w14:paraId="2A000000">
      <w:pPr>
        <w:pStyle w:val="Style_1"/>
        <w:spacing w:line="216" w:lineRule="auto"/>
        <w:ind w:firstLine="0" w:left="0"/>
      </w:pPr>
    </w:p>
    <w:p w14:paraId="2B000000">
      <w:pPr>
        <w:pStyle w:val="Style_1"/>
        <w:spacing w:line="216" w:lineRule="auto"/>
        <w:ind w:firstLine="0" w:left="0"/>
      </w:pPr>
    </w:p>
    <w:p w14:paraId="2C000000">
      <w:pPr>
        <w:pStyle w:val="Style_1"/>
        <w:spacing w:line="216" w:lineRule="auto"/>
        <w:ind w:firstLine="0" w:left="0"/>
      </w:pPr>
    </w:p>
    <w:p w14:paraId="2D000000">
      <w:pPr>
        <w:pStyle w:val="Style_1"/>
        <w:spacing w:line="216" w:lineRule="auto"/>
        <w:ind w:firstLine="0" w:left="0"/>
      </w:pPr>
    </w:p>
    <w:p w14:paraId="2E000000">
      <w:pPr>
        <w:pStyle w:val="Style_1"/>
        <w:spacing w:line="216" w:lineRule="auto"/>
        <w:ind w:firstLine="0" w:left="0"/>
      </w:pPr>
    </w:p>
    <w:p w14:paraId="2F000000">
      <w:pPr>
        <w:pStyle w:val="Style_1"/>
        <w:spacing w:line="216" w:lineRule="auto"/>
        <w:ind w:firstLine="0" w:left="0"/>
      </w:pPr>
    </w:p>
    <w:p w14:paraId="30000000">
      <w:pPr>
        <w:pStyle w:val="Style_1"/>
        <w:spacing w:line="216" w:lineRule="auto"/>
        <w:ind w:firstLine="0" w:left="0"/>
      </w:pPr>
    </w:p>
    <w:p w14:paraId="31000000">
      <w:pPr>
        <w:pStyle w:val="Style_1"/>
        <w:spacing w:line="216" w:lineRule="auto"/>
        <w:ind w:firstLine="0" w:left="0"/>
      </w:pPr>
    </w:p>
    <w:p w14:paraId="32000000">
      <w:pPr>
        <w:pStyle w:val="Style_1"/>
        <w:spacing w:line="216" w:lineRule="auto"/>
        <w:ind w:firstLine="0" w:left="0"/>
      </w:pPr>
      <w:r>
        <w:t xml:space="preserve">Ответственный </w:t>
      </w:r>
      <w:r>
        <w:t>исполнитель программы:</w:t>
      </w:r>
    </w:p>
    <w:p w14:paraId="33000000">
      <w:pPr>
        <w:pStyle w:val="Style_1"/>
        <w:ind w:firstLine="0" w:left="0"/>
      </w:pPr>
      <w:r>
        <w:t xml:space="preserve">Ведущий специалист администрации Сосновское сельское поселение Пичугина Оксана Александровна, тел. (8-813-79) 61-370, </w:t>
      </w:r>
      <w:r>
        <w:t>эл.адрес</w:t>
      </w:r>
      <w:r>
        <w:t xml:space="preserve">: </w:t>
      </w:r>
      <w:r>
        <w:fldChar w:fldCharType="begin"/>
      </w:r>
      <w:r>
        <w:instrText>HYPERLINK "mailto:sosnadm@mail.ru"</w:instrText>
      </w:r>
      <w:r>
        <w:fldChar w:fldCharType="separate"/>
      </w:r>
      <w:r>
        <w:t>sosnadm@mail.ru</w:t>
      </w:r>
      <w:r>
        <w:fldChar w:fldCharType="end"/>
      </w:r>
      <w:r>
        <w:br w:type="page"/>
      </w:r>
    </w:p>
    <w:p w14:paraId="34000000">
      <w:pPr>
        <w:pStyle w:val="Style_3"/>
        <w:spacing w:after="0"/>
        <w:ind/>
      </w:pPr>
      <w:r>
        <w:rPr>
          <w:b w:val="0"/>
        </w:rPr>
        <w:t xml:space="preserve">   </w:t>
      </w:r>
    </w:p>
    <w:p w14:paraId="35000000">
      <w:pPr>
        <w:pStyle w:val="Style_1"/>
        <w:spacing w:line="252" w:lineRule="auto"/>
        <w:ind w:firstLine="0" w:left="0"/>
        <w:jc w:val="center"/>
      </w:pPr>
      <w:r>
        <w:rPr>
          <w:b w:val="1"/>
          <w:highlight w:val="white"/>
        </w:rPr>
        <w:t>ПАСПОРТ</w:t>
      </w:r>
      <w:r>
        <w:rPr>
          <w:b w:val="1"/>
        </w:rPr>
        <w:br/>
      </w:r>
      <w:r>
        <w:rPr>
          <w:b w:val="1"/>
        </w:rPr>
        <w:t xml:space="preserve">муниципальной программы «Развитие </w:t>
      </w:r>
      <w:r>
        <w:rPr>
          <w:b w:val="1"/>
        </w:rPr>
        <w:t>муниципальной службы</w:t>
      </w:r>
      <w:r>
        <w:rPr>
          <w:b w:val="1"/>
        </w:rPr>
        <w:br/>
      </w:r>
      <w:r>
        <w:rPr>
          <w:b w:val="1"/>
        </w:rPr>
        <w:t>в муниципальном образовании Сосновское сельское поселение муниципального</w:t>
      </w:r>
      <w:r>
        <w:rPr>
          <w:b w:val="1"/>
        </w:rPr>
        <w:br/>
      </w:r>
      <w:r>
        <w:rPr>
          <w:b w:val="1"/>
        </w:rPr>
        <w:t>образования Приозерский муниципальный район</w:t>
      </w:r>
    </w:p>
    <w:p w14:paraId="36000000">
      <w:pPr>
        <w:pStyle w:val="Style_1"/>
        <w:spacing w:after="220" w:line="252" w:lineRule="auto"/>
        <w:ind w:firstLine="0" w:left="0"/>
        <w:jc w:val="center"/>
      </w:pPr>
      <w:r>
        <w:rPr>
          <w:b w:val="1"/>
        </w:rPr>
        <w:t>Ленинградской области на 2025-2030 годы»</w:t>
      </w:r>
    </w:p>
    <w:tbl>
      <w:tblPr>
        <w:tblStyle w:val="Style_5"/>
        <w:tblLayout w:type="fixed"/>
        <w:tblCellMar>
          <w:left w:type="dxa" w:w="10"/>
          <w:right w:type="dxa" w:w="10"/>
        </w:tblCellMar>
      </w:tblPr>
      <w:tblGrid>
        <w:gridCol w:w="3393"/>
        <w:gridCol w:w="6388"/>
      </w:tblGrid>
      <w:tr>
        <w:trPr>
          <w:trHeight w:hRule="exact" w:val="734"/>
        </w:trPr>
        <w:tc>
          <w:tcPr>
            <w:tcW w:type="dxa" w:w="33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pStyle w:val="Style_6"/>
              <w:ind w:firstLine="0" w:left="0"/>
            </w:pPr>
            <w:r>
              <w:t>Сроки реализации муниципальной программы</w:t>
            </w:r>
          </w:p>
        </w:tc>
        <w:tc>
          <w:tcPr>
            <w:tcW w:type="dxa" w:w="638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00000">
            <w:pPr>
              <w:pStyle w:val="Style_6"/>
              <w:spacing w:before="120"/>
              <w:ind w:firstLine="0" w:left="0"/>
            </w:pPr>
            <w:r>
              <w:t xml:space="preserve">01.01.2025-31.12.2030 </w:t>
            </w:r>
            <w:r>
              <w:t>г.г</w:t>
            </w:r>
            <w:r>
              <w:t>.</w:t>
            </w:r>
          </w:p>
        </w:tc>
      </w:tr>
      <w:tr>
        <w:trPr>
          <w:trHeight w:hRule="exact" w:val="1051"/>
        </w:trPr>
        <w:tc>
          <w:tcPr>
            <w:tcW w:type="dxa" w:w="33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9000000">
            <w:pPr>
              <w:pStyle w:val="Style_6"/>
              <w:spacing w:before="100"/>
              <w:ind w:firstLine="0" w:left="0"/>
            </w:pPr>
            <w:r>
              <w:t>Ответств</w:t>
            </w:r>
            <w:r>
              <w:t>енный исполнитель муниципальной программы</w:t>
            </w:r>
          </w:p>
        </w:tc>
        <w:tc>
          <w:tcPr>
            <w:tcW w:type="dxa" w:w="638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pStyle w:val="Style_6"/>
              <w:ind w:firstLine="0" w:left="0"/>
              <w:jc w:val="both"/>
            </w:pPr>
            <w:r>
              <w:t xml:space="preserve">Ведущий специалист администрации Сосновское сельское поселение Приозерский муниципальный район </w:t>
            </w:r>
          </w:p>
        </w:tc>
      </w:tr>
      <w:tr>
        <w:trPr>
          <w:trHeight w:hRule="exact" w:val="778"/>
        </w:trPr>
        <w:tc>
          <w:tcPr>
            <w:tcW w:type="dxa" w:w="33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pStyle w:val="Style_6"/>
              <w:ind w:firstLine="0" w:left="0"/>
            </w:pPr>
            <w:r>
              <w:t>Соисполнители муниципальной программы</w:t>
            </w:r>
          </w:p>
        </w:tc>
        <w:tc>
          <w:tcPr>
            <w:tcW w:type="dxa" w:w="638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pStyle w:val="Style_6"/>
              <w:spacing w:before="100"/>
              <w:ind w:firstLine="0" w:left="0"/>
              <w:jc w:val="both"/>
            </w:pPr>
            <w:r>
              <w:t>Не предусмотрены</w:t>
            </w:r>
          </w:p>
        </w:tc>
      </w:tr>
      <w:tr>
        <w:trPr>
          <w:trHeight w:hRule="exact" w:val="1348"/>
        </w:trPr>
        <w:tc>
          <w:tcPr>
            <w:tcW w:type="dxa" w:w="33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00000">
            <w:pPr>
              <w:pStyle w:val="Style_6"/>
              <w:tabs>
                <w:tab w:leader="none" w:pos="1598" w:val="left"/>
              </w:tabs>
              <w:spacing w:before="100"/>
              <w:ind w:firstLine="0" w:left="0"/>
            </w:pPr>
            <w:r>
              <w:t>Цели муниципальной</w:t>
            </w:r>
          </w:p>
          <w:p w14:paraId="3E000000">
            <w:pPr>
              <w:pStyle w:val="Style_6"/>
              <w:ind w:firstLine="0" w:left="0"/>
            </w:pPr>
            <w:r>
              <w:t>программы</w:t>
            </w:r>
          </w:p>
        </w:tc>
        <w:tc>
          <w:tcPr>
            <w:tcW w:type="dxa" w:w="638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pStyle w:val="Style_6"/>
              <w:ind w:firstLine="0" w:left="0"/>
              <w:jc w:val="both"/>
            </w:pPr>
            <w:r>
              <w:t xml:space="preserve">Создание условий для развития и </w:t>
            </w:r>
            <w:r>
              <w:t>совершенствования муниципальной службы, повышение эффективности деятельности муниципальных служащих в администрации Сосновское сельское поселение</w:t>
            </w:r>
          </w:p>
        </w:tc>
      </w:tr>
      <w:tr>
        <w:trPr>
          <w:trHeight w:hRule="exact" w:val="3157"/>
        </w:trPr>
        <w:tc>
          <w:tcPr>
            <w:tcW w:type="dxa" w:w="33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00000">
            <w:pPr>
              <w:pStyle w:val="Style_6"/>
              <w:tabs>
                <w:tab w:leader="none" w:pos="1595" w:val="left"/>
              </w:tabs>
              <w:spacing w:before="120"/>
              <w:ind w:firstLine="0" w:left="0"/>
            </w:pPr>
            <w:r>
              <w:t>Задачи муниципальной</w:t>
            </w:r>
          </w:p>
          <w:p w14:paraId="41000000">
            <w:pPr>
              <w:pStyle w:val="Style_6"/>
              <w:ind w:firstLine="0" w:left="0"/>
            </w:pPr>
            <w:r>
              <w:t>программы</w:t>
            </w:r>
          </w:p>
        </w:tc>
        <w:tc>
          <w:tcPr>
            <w:tcW w:type="dxa" w:w="638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00000">
            <w:pPr>
              <w:pStyle w:val="Style_6"/>
              <w:ind w:firstLine="0" w:left="0"/>
            </w:pPr>
            <w:r>
              <w:t xml:space="preserve">Совершенствование муниципальной правовой базы по вопросам развития </w:t>
            </w:r>
            <w:r>
              <w:t>муниципальной службы;</w:t>
            </w:r>
          </w:p>
          <w:p w14:paraId="43000000">
            <w:pPr>
              <w:pStyle w:val="Style_6"/>
              <w:ind w:firstLine="0" w:left="0"/>
            </w:pPr>
            <w:r>
              <w:t>Формирование эффективной системы управления муниципальной службы;</w:t>
            </w:r>
          </w:p>
          <w:p w14:paraId="44000000">
            <w:pPr>
              <w:pStyle w:val="Style_6"/>
              <w:ind w:firstLine="0" w:left="0"/>
            </w:pPr>
            <w:r>
              <w:t>Повышение уровня профессионального развития и подготовки кадров муниципальной службы;</w:t>
            </w:r>
          </w:p>
          <w:p w14:paraId="45000000">
            <w:pPr>
              <w:pStyle w:val="Style_6"/>
              <w:ind w:firstLine="0" w:left="0"/>
            </w:pPr>
            <w:r>
              <w:t>Обеспечение устойчивого развития кадрового потенциала и повышения эффективности му</w:t>
            </w:r>
            <w:r>
              <w:t>ниципальной службы;</w:t>
            </w:r>
          </w:p>
          <w:p w14:paraId="46000000">
            <w:pPr>
              <w:pStyle w:val="Style_6"/>
              <w:ind w:firstLine="0" w:left="0"/>
            </w:pPr>
            <w:r>
              <w:t>Противодействие коррупции на муниципальной службе;</w:t>
            </w:r>
          </w:p>
          <w:p w14:paraId="47000000">
            <w:pPr>
              <w:pStyle w:val="Style_6"/>
              <w:ind w:firstLine="0" w:left="0"/>
            </w:pPr>
            <w:r>
              <w:t>Функционирование комиссий администрации Сосновское сельское поселение</w:t>
            </w:r>
          </w:p>
        </w:tc>
      </w:tr>
      <w:tr>
        <w:trPr>
          <w:trHeight w:hRule="exact" w:val="3935"/>
        </w:trPr>
        <w:tc>
          <w:tcPr>
            <w:tcW w:type="dxa" w:w="33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pStyle w:val="Style_6"/>
              <w:tabs>
                <w:tab w:leader="none" w:pos="1962" w:val="left"/>
              </w:tabs>
              <w:spacing w:before="140"/>
              <w:ind w:firstLine="0" w:left="0"/>
            </w:pPr>
            <w:r>
              <w:t>Ожидаемые (конечные)</w:t>
            </w:r>
          </w:p>
          <w:p w14:paraId="49000000">
            <w:pPr>
              <w:pStyle w:val="Style_6"/>
              <w:tabs>
                <w:tab w:leader="none" w:pos="1969" w:val="left"/>
              </w:tabs>
              <w:ind w:firstLine="0" w:left="0"/>
            </w:pPr>
            <w:r>
              <w:t>результаты реализации</w:t>
            </w:r>
          </w:p>
          <w:p w14:paraId="4A000000">
            <w:pPr>
              <w:pStyle w:val="Style_6"/>
              <w:ind w:firstLine="0" w:left="0"/>
            </w:pPr>
            <w:r>
              <w:t>муниципальной программы</w:t>
            </w:r>
          </w:p>
        </w:tc>
        <w:tc>
          <w:tcPr>
            <w:tcW w:type="dxa" w:w="6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pStyle w:val="Style_6"/>
              <w:ind w:firstLine="0" w:left="0"/>
            </w:pPr>
            <w:r>
              <w:t>К 2030 году:</w:t>
            </w:r>
          </w:p>
          <w:p w14:paraId="4C000000">
            <w:pPr>
              <w:pStyle w:val="Style_6"/>
              <w:ind w:firstLine="0" w:left="0"/>
            </w:pPr>
            <w:r>
              <w:t xml:space="preserve">Приведение муниципальных правовых </w:t>
            </w:r>
            <w:r>
              <w:t>актов по муниципальной службе и противодействию коррупции, в соответствие с действующим законодательством Российской Федерации-100%;</w:t>
            </w:r>
          </w:p>
          <w:p w14:paraId="4D000000">
            <w:pPr>
              <w:pStyle w:val="Style_6"/>
              <w:ind w:firstLine="0" w:left="0"/>
              <w:jc w:val="both"/>
            </w:pPr>
            <w:r>
              <w:t>Увеличение доли муниципальных служащих, прошедших курсы повышения квалификации (от общего количества муниципальных служащих</w:t>
            </w:r>
            <w:r>
              <w:t>) до 100 %;</w:t>
            </w:r>
          </w:p>
          <w:p w14:paraId="4E000000">
            <w:pPr>
              <w:pStyle w:val="Style_6"/>
              <w:spacing w:line="264" w:lineRule="auto"/>
              <w:ind w:firstLine="0" w:left="0"/>
              <w:jc w:val="both"/>
            </w:pPr>
            <w:r>
              <w:t>Увеличение доли аттестованных муниципальных служащих (от общего количества муниципальных служащих) до 100 %;</w:t>
            </w:r>
          </w:p>
          <w:p w14:paraId="4F000000">
            <w:pPr>
              <w:pStyle w:val="Style_6"/>
              <w:ind w:firstLine="0" w:left="0"/>
              <w:jc w:val="both"/>
            </w:pPr>
            <w:r>
              <w:t>Рост положительных показателей эффективности работы администрации поселения (показатели социально-экономического развития, участие в ко</w:t>
            </w:r>
            <w:r>
              <w:t>нкурсах, круглых столах и др.) - 100%</w:t>
            </w:r>
          </w:p>
        </w:tc>
      </w:tr>
    </w:tbl>
    <w:p w14:paraId="50000000">
      <w:pPr>
        <w:spacing w:line="1" w:lineRule="exact"/>
        <w:ind/>
      </w:pPr>
    </w:p>
    <w:tbl>
      <w:tblPr>
        <w:tblStyle w:val="Style_5"/>
        <w:tblLayout w:type="fixed"/>
        <w:tblCellMar>
          <w:left w:type="dxa" w:w="10"/>
          <w:right w:type="dxa" w:w="10"/>
        </w:tblCellMar>
      </w:tblPr>
      <w:tblGrid>
        <w:gridCol w:w="3365"/>
        <w:gridCol w:w="6336"/>
      </w:tblGrid>
      <w:tr>
        <w:trPr>
          <w:trHeight w:hRule="exact" w:val="864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pStyle w:val="Style_6"/>
              <w:tabs>
                <w:tab w:leader="none" w:pos="1472" w:val="left"/>
              </w:tabs>
              <w:ind w:firstLine="0" w:left="0"/>
              <w:jc w:val="both"/>
            </w:pPr>
            <w:r>
              <w:t>Проекты, реализуемые в рамках государственной программы</w:t>
            </w:r>
          </w:p>
        </w:tc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00000">
            <w:pPr>
              <w:pStyle w:val="Style_6"/>
              <w:spacing w:before="160"/>
              <w:ind w:firstLine="140" w:left="0"/>
            </w:pPr>
            <w:r>
              <w:t>Реализация проектов не предусмотрена.</w:t>
            </w:r>
          </w:p>
        </w:tc>
      </w:tr>
      <w:tr>
        <w:trPr>
          <w:trHeight w:hRule="exact" w:val="2282"/>
        </w:trPr>
        <w:tc>
          <w:tcPr>
            <w:tcW w:type="dxa" w:w="33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pStyle w:val="Style_6"/>
              <w:tabs>
                <w:tab w:leader="none" w:pos="1948" w:val="left"/>
              </w:tabs>
              <w:ind w:firstLine="0" w:left="0"/>
            </w:pPr>
            <w:r>
              <w:t>Финансовое обеспечение</w:t>
            </w:r>
          </w:p>
          <w:p w14:paraId="54000000">
            <w:pPr>
              <w:pStyle w:val="Style_6"/>
              <w:ind w:firstLine="0" w:left="0"/>
            </w:pPr>
            <w:r>
              <w:t>муниципальной программы - всего, в том числе по годам реализации</w:t>
            </w:r>
          </w:p>
        </w:tc>
        <w:tc>
          <w:tcPr>
            <w:tcW w:type="dxa" w:w="63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pStyle w:val="Style_6"/>
              <w:ind w:firstLine="0" w:left="0"/>
            </w:pPr>
            <w:r>
              <w:t>Всего – 628 023,00</w:t>
            </w:r>
            <w:r>
              <w:rPr>
                <w:color w:val="FF0000"/>
              </w:rPr>
              <w:t xml:space="preserve"> </w:t>
            </w:r>
            <w:r>
              <w:t xml:space="preserve">тыс. руб., в </w:t>
            </w:r>
            <w:r>
              <w:t>том числе:</w:t>
            </w:r>
          </w:p>
          <w:p w14:paraId="56000000">
            <w:pPr>
              <w:pStyle w:val="Style_6"/>
              <w:ind w:firstLine="0" w:left="0"/>
            </w:pPr>
          </w:p>
          <w:p w14:paraId="57000000">
            <w:pPr>
              <w:pStyle w:val="Style_6"/>
              <w:ind w:firstLine="0" w:left="0"/>
            </w:pPr>
            <w:r>
              <w:rPr>
                <w:spacing w:val="2"/>
              </w:rPr>
              <w:t>Общий объем бюджетных ассигнований муниципальной программы составляет 558,8 тыс. руб., в том числе:</w:t>
            </w:r>
          </w:p>
          <w:p w14:paraId="58000000">
            <w:pPr>
              <w:pStyle w:val="Style_6"/>
              <w:numPr>
                <w:ilvl w:val="0"/>
                <w:numId w:val="2"/>
              </w:numPr>
              <w:tabs>
                <w:tab w:leader="none" w:pos="144" w:val="left"/>
              </w:tabs>
              <w:ind w:firstLine="0" w:left="0"/>
            </w:pPr>
            <w:r>
              <w:t>2025 год - местный бюджет – 258,8 тыс. руб.</w:t>
            </w:r>
          </w:p>
          <w:p w14:paraId="59000000">
            <w:pPr>
              <w:pStyle w:val="Style_6"/>
              <w:numPr>
                <w:ilvl w:val="0"/>
                <w:numId w:val="2"/>
              </w:numPr>
              <w:tabs>
                <w:tab w:leader="none" w:pos="140" w:val="left"/>
              </w:tabs>
              <w:ind w:firstLine="0" w:left="0"/>
            </w:pPr>
            <w:r>
              <w:t>2026 год - местный бюджет – 100,0 тыс. руб.</w:t>
            </w:r>
          </w:p>
          <w:p w14:paraId="5A000000">
            <w:pPr>
              <w:pStyle w:val="Style_6"/>
              <w:numPr>
                <w:ilvl w:val="0"/>
                <w:numId w:val="2"/>
              </w:numPr>
              <w:tabs>
                <w:tab w:leader="none" w:pos="140" w:val="left"/>
              </w:tabs>
              <w:ind w:firstLine="0" w:left="0"/>
            </w:pPr>
            <w:r>
              <w:t>2027 год - местный бюджет – 100,0 тыс. руб.</w:t>
            </w:r>
          </w:p>
          <w:p w14:paraId="5B000000">
            <w:pPr>
              <w:pStyle w:val="Style_6"/>
              <w:numPr>
                <w:ilvl w:val="0"/>
                <w:numId w:val="2"/>
              </w:numPr>
              <w:tabs>
                <w:tab w:leader="none" w:pos="140" w:val="left"/>
              </w:tabs>
              <w:ind w:firstLine="0" w:left="0"/>
            </w:pPr>
            <w:r>
              <w:t>2028 год - м</w:t>
            </w:r>
            <w:r>
              <w:t>естный бюджет – 100,0 тыс. руб.</w:t>
            </w:r>
          </w:p>
          <w:p w14:paraId="5C000000">
            <w:pPr>
              <w:pStyle w:val="Style_6"/>
              <w:numPr>
                <w:ilvl w:val="0"/>
                <w:numId w:val="2"/>
              </w:numPr>
              <w:tabs>
                <w:tab w:leader="none" w:pos="140" w:val="left"/>
              </w:tabs>
              <w:ind w:firstLine="0" w:left="0"/>
            </w:pPr>
            <w:r>
              <w:t>2029 год - местный бюджет – 0,00 тыс. руб.</w:t>
            </w:r>
          </w:p>
          <w:p w14:paraId="5D000000">
            <w:pPr>
              <w:pStyle w:val="Style_6"/>
              <w:numPr>
                <w:ilvl w:val="0"/>
                <w:numId w:val="2"/>
              </w:numPr>
              <w:tabs>
                <w:tab w:leader="none" w:pos="140" w:val="left"/>
              </w:tabs>
              <w:ind w:firstLine="0" w:left="0"/>
            </w:pPr>
            <w:r>
              <w:t>2030 год - местный бюджет – 0,00 тыс. руб.</w:t>
            </w:r>
          </w:p>
          <w:p w14:paraId="5E000000">
            <w:pPr>
              <w:pStyle w:val="Style_6"/>
              <w:tabs>
                <w:tab w:leader="none" w:pos="140" w:val="left"/>
              </w:tabs>
              <w:ind w:firstLine="0" w:left="0"/>
            </w:pPr>
          </w:p>
          <w:p w14:paraId="5F000000">
            <w:pPr>
              <w:pStyle w:val="Style_6"/>
              <w:tabs>
                <w:tab w:leader="none" w:pos="140" w:val="left"/>
              </w:tabs>
              <w:ind w:firstLine="0" w:left="0"/>
            </w:pPr>
          </w:p>
        </w:tc>
      </w:tr>
      <w:tr>
        <w:trPr>
          <w:trHeight w:hRule="exact" w:val="1667"/>
        </w:trPr>
        <w:tc>
          <w:tcPr>
            <w:tcW w:type="dxa" w:w="33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00000">
            <w:pPr>
              <w:pStyle w:val="Style_6"/>
              <w:tabs>
                <w:tab w:leader="none" w:pos="1602" w:val="left"/>
              </w:tabs>
              <w:ind w:firstLine="0" w:left="0"/>
            </w:pPr>
            <w: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00000">
            <w:pPr>
              <w:pStyle w:val="Style_6"/>
              <w:spacing w:before="100"/>
              <w:ind w:firstLine="0" w:left="0"/>
            </w:pPr>
            <w:r>
              <w:t>Налоговые расходы</w:t>
            </w:r>
            <w:r>
              <w:t xml:space="preserve"> не предусмотрены</w:t>
            </w:r>
          </w:p>
        </w:tc>
      </w:tr>
    </w:tbl>
    <w:p w14:paraId="62000000">
      <w:pPr>
        <w:spacing w:after="299" w:line="1" w:lineRule="exact"/>
        <w:ind/>
      </w:pPr>
    </w:p>
    <w:p w14:paraId="63000000">
      <w:pPr>
        <w:pStyle w:val="Style_1"/>
        <w:numPr>
          <w:ilvl w:val="0"/>
          <w:numId w:val="3"/>
        </w:numPr>
        <w:tabs>
          <w:tab w:leader="none" w:pos="292" w:val="left"/>
        </w:tabs>
        <w:spacing w:after="300" w:line="276" w:lineRule="auto"/>
        <w:ind w:firstLine="0" w:left="0"/>
        <w:jc w:val="center"/>
      </w:pPr>
      <w:bookmarkStart w:id="5" w:name="bookmark6"/>
      <w:bookmarkEnd w:id="5"/>
      <w:r>
        <w:rPr>
          <w:b w:val="1"/>
        </w:rPr>
        <w:t>Общая характеристика, основные проблемы и прогноз развития сферы реализации</w:t>
      </w:r>
      <w:r>
        <w:rPr>
          <w:b w:val="1"/>
        </w:rPr>
        <w:br/>
      </w:r>
      <w:r>
        <w:rPr>
          <w:b w:val="1"/>
        </w:rPr>
        <w:t>муниципальной программы</w:t>
      </w:r>
    </w:p>
    <w:p w14:paraId="64000000">
      <w:pPr>
        <w:pStyle w:val="Style_1"/>
        <w:spacing w:line="276" w:lineRule="auto"/>
        <w:ind w:firstLine="740" w:left="0"/>
        <w:jc w:val="both"/>
      </w:pPr>
      <w:r>
        <w:t xml:space="preserve">Муниципальная программа «Развитие муниципальной службы в муниципальном образовании Сосновское сельское поселение муниципального образования Приозерский муниципальный район на 2025-2030 годы» разработана в соответствии со </w:t>
      </w:r>
      <w:r>
        <w:t>статьей</w:t>
      </w:r>
      <w:r>
        <w:t xml:space="preserve"> 35 Федерального закона "О м</w:t>
      </w:r>
      <w:r>
        <w:t xml:space="preserve">униципальной службе в Российской Федерации", согласно которой развитие муниципальной службы обеспечивается программами развития муниципальной службы, финансируемыми за </w:t>
      </w:r>
      <w:r>
        <w:t>счет</w:t>
      </w:r>
      <w:r>
        <w:t xml:space="preserve"> средств местных бюджетов.</w:t>
      </w:r>
    </w:p>
    <w:p w14:paraId="65000000">
      <w:pPr>
        <w:pStyle w:val="Style_1"/>
        <w:ind w:firstLine="740" w:left="0"/>
        <w:jc w:val="both"/>
      </w:pPr>
      <w:r>
        <w:t>Эффективное муниципальное управление невозможно без должн</w:t>
      </w:r>
      <w:r>
        <w:t>ого кадрового обеспечения органов местного самоуправления. Основу кадрового состава муниципальной службы должны составлять служащие, способные в современных условиях использовать в работе эффективные методы муниципального управления. Муниципальная служба д</w:t>
      </w:r>
      <w:r>
        <w:t>олжна быть основана на профессионализме и высокой квалификации муниципальных служащих. От качества подготовки и компетентности муниципальных служащих, их добросовестного отношения к должностным обязанностям во многом зависит профессионализм всей муниципаль</w:t>
      </w:r>
      <w:r>
        <w:t>ной службы.</w:t>
      </w:r>
    </w:p>
    <w:p w14:paraId="66000000">
      <w:pPr>
        <w:pStyle w:val="Style_1"/>
        <w:ind w:firstLine="740" w:left="0"/>
        <w:jc w:val="both"/>
      </w:pPr>
      <w:r>
        <w:t>Кадровый состав администрации Сосновское сельского поселения характеризуется следующими параметрами:</w:t>
      </w:r>
    </w:p>
    <w:p w14:paraId="67000000">
      <w:pPr>
        <w:pStyle w:val="Style_1"/>
        <w:ind w:firstLine="740" w:left="0"/>
        <w:jc w:val="both"/>
        <w:rPr/>
      </w:pPr>
      <w:r>
        <w:rPr/>
        <w:t>По состоянию на 01.01.202</w:t>
      </w:r>
      <w:r>
        <w:rPr/>
        <w:t>6</w:t>
      </w:r>
      <w:r>
        <w:rPr/>
        <w:t xml:space="preserve"> общая численность муниципальных служащих составляет (по штатному расписанию) - 16 человек, фактически замещают должн</w:t>
      </w:r>
      <w:r>
        <w:rPr/>
        <w:t>ости муниципальной службы - 1</w:t>
      </w:r>
      <w:r>
        <w:rPr/>
        <w:t>4</w:t>
      </w:r>
      <w:r>
        <w:rPr/>
        <w:t xml:space="preserve"> человек, в том числе:</w:t>
      </w:r>
      <w:r>
        <w:rPr/>
        <w:t>1 человек – в возрасте от 18 до 30 лет,</w:t>
      </w:r>
      <w:r>
        <w:rPr/>
        <w:t xml:space="preserve"> </w:t>
      </w:r>
      <w:r>
        <w:rPr/>
        <w:t>9</w:t>
      </w:r>
      <w:r>
        <w:rPr/>
        <w:t xml:space="preserve"> человек - в возрасте от 30 до 50 лет, </w:t>
      </w:r>
      <w:r>
        <w:rPr/>
        <w:t>3</w:t>
      </w:r>
      <w:r>
        <w:rPr/>
        <w:t xml:space="preserve"> человека - в возрасте от 50 до 60 лет</w:t>
      </w:r>
      <w:r>
        <w:rPr/>
        <w:t>,1 человек -в возрасте от 60 до 65 лет.</w:t>
      </w:r>
    </w:p>
    <w:p w14:paraId="68000000">
      <w:pPr>
        <w:pStyle w:val="Style_1"/>
        <w:ind w:firstLine="740" w:left="0"/>
        <w:jc w:val="both"/>
        <w:rPr/>
      </w:pPr>
      <w:r>
        <w:rPr/>
        <w:t xml:space="preserve">Из общего количества муниципальных служащих в соответствии с квалификационными требованиями, предъявляемыми к должностям </w:t>
      </w:r>
      <w:r>
        <w:rPr/>
        <w:t>муниципальной службы, высшее образование имеют 10</w:t>
      </w:r>
      <w:r>
        <w:rPr/>
        <w:t xml:space="preserve"> человек, среднее профессиональное имеют 4</w:t>
      </w:r>
      <w:bookmarkStart w:id="6" w:name="_GoBack"/>
      <w:bookmarkEnd w:id="6"/>
      <w:r>
        <w:rPr/>
        <w:t xml:space="preserve"> человека.</w:t>
      </w:r>
    </w:p>
    <w:p w14:paraId="69000000">
      <w:pPr>
        <w:pStyle w:val="Style_1"/>
        <w:ind w:firstLine="740" w:left="0"/>
        <w:jc w:val="both"/>
        <w:rPr/>
      </w:pPr>
      <w:r>
        <w:rPr/>
        <w:t>Основной процент муниципальных служащих (67%) имеют опыт работы в органах государственной власти и местного самоуправления более 5 лет. Наличие стажа от 1</w:t>
      </w:r>
      <w:r>
        <w:rPr/>
        <w:t xml:space="preserve"> года до 5 лет имеется у 33%. Анализ количественного и качественного состава муниципальных служащих администрации муниципального образования Сосновское сельское поселение, итоги аттестации муниципальных служащих свидетельствуют о соответствии степени компе</w:t>
      </w:r>
      <w:r>
        <w:rPr/>
        <w:t>тентности и уровня профессионализма муниципальных служащих характеру и сложности решаемых задач.</w:t>
      </w:r>
    </w:p>
    <w:p w14:paraId="6A000000">
      <w:pPr>
        <w:pStyle w:val="Style_1"/>
        <w:ind w:firstLine="740" w:left="0"/>
        <w:jc w:val="both"/>
      </w:pPr>
      <w:r>
        <w:rPr/>
        <w:t>Вместе с тем, на муниципальном уровне, в условиях постоянно изменяющегося законодательства и увеличения числа полномочий, возлагаемых на органы местного самоуп</w:t>
      </w:r>
      <w:r>
        <w:t xml:space="preserve">равления, а также повышения эффективности деятельности органов местного самоуправления, остро </w:t>
      </w:r>
      <w:r>
        <w:t>встает</w:t>
      </w:r>
      <w:r>
        <w:t xml:space="preserve"> вопрос о развитии муниципальной службы.</w:t>
      </w:r>
    </w:p>
    <w:p w14:paraId="6B000000">
      <w:pPr>
        <w:pStyle w:val="Style_1"/>
        <w:ind w:firstLine="740" w:left="0"/>
        <w:jc w:val="both"/>
      </w:pPr>
      <w:r>
        <w:t>Решение проблемы развития муниципальной службы без использования программных методов может привести к снижению резу</w:t>
      </w:r>
      <w:r>
        <w:t>льтативности мероприятий, проводимых разрозненно, бессистемно и непоследовательно.</w:t>
      </w:r>
    </w:p>
    <w:p w14:paraId="6C000000">
      <w:pPr>
        <w:pStyle w:val="Style_1"/>
        <w:ind w:firstLine="760" w:left="400"/>
        <w:jc w:val="both"/>
      </w:pPr>
      <w:r>
        <w:t>Программа позволит комплексно подойти к решению вопросов развития муниципальной службы, будет способствовать повышению эффективности кадровой политики, формированию необходи</w:t>
      </w:r>
      <w:r>
        <w:t>мых профессиональных знаний, умений и навыков.</w:t>
      </w:r>
    </w:p>
    <w:p w14:paraId="6D000000">
      <w:pPr>
        <w:pStyle w:val="Style_1"/>
        <w:ind w:firstLine="760" w:left="400"/>
        <w:jc w:val="both"/>
      </w:pPr>
    </w:p>
    <w:p w14:paraId="6E000000">
      <w:pPr>
        <w:pStyle w:val="Style_1"/>
        <w:tabs>
          <w:tab w:leader="none" w:pos="2249" w:val="left"/>
        </w:tabs>
        <w:ind w:firstLine="0" w:left="0"/>
        <w:jc w:val="center"/>
      </w:pPr>
      <w:bookmarkStart w:id="7" w:name="bookmark7"/>
      <w:bookmarkEnd w:id="7"/>
      <w:r>
        <w:rPr>
          <w:b w:val="1"/>
        </w:rPr>
        <w:t>2. Приоритеты и цели муниципальной политики в сфере реализации муниципальной программы</w:t>
      </w:r>
    </w:p>
    <w:p w14:paraId="6F000000">
      <w:pPr>
        <w:pStyle w:val="Style_1"/>
        <w:tabs>
          <w:tab w:leader="none" w:pos="2249" w:val="left"/>
        </w:tabs>
        <w:ind w:firstLine="0" w:left="0"/>
        <w:jc w:val="both"/>
      </w:pPr>
      <w:r>
        <w:t xml:space="preserve">Приоритеты муниципальной политики в сфере развития муниципальной службы установлены Федеральным законом от 02.03.2007 N </w:t>
      </w:r>
      <w:r>
        <w:t>25-ФЗ "О муниципальной службе в Российской Федерации", в числе основных принципов муниципальной службы названы профессионализм и компетентность муниципальных служащих, стабильность муниципальной службы, правовая и социальная.</w:t>
      </w:r>
    </w:p>
    <w:p w14:paraId="70000000">
      <w:pPr>
        <w:pStyle w:val="Style_1"/>
        <w:ind w:firstLine="760" w:left="400"/>
        <w:jc w:val="both"/>
      </w:pPr>
      <w:r>
        <w:t>Реализация настоящей Программы</w:t>
      </w:r>
      <w:r>
        <w:t xml:space="preserve"> позволит достичь эффективного взаимодействия органов местного самоуправления Сосновское сельское поселение в области развития и совершенствования муниципальной службы, сформировать единую кадровую политику для решения поставленных задач.</w:t>
      </w:r>
    </w:p>
    <w:p w14:paraId="71000000">
      <w:pPr>
        <w:pStyle w:val="Style_1"/>
        <w:ind w:firstLine="1134" w:left="0"/>
        <w:jc w:val="both"/>
      </w:pPr>
      <w:r>
        <w:t>Целью Программы я</w:t>
      </w:r>
      <w:r>
        <w:t>вляется повышение уровня профессиональной компетенции служащих администрации Сосновское сельское поселение для обеспечения эффективного муниципального управления.</w:t>
      </w:r>
    </w:p>
    <w:p w14:paraId="72000000">
      <w:pPr>
        <w:pStyle w:val="Style_1"/>
        <w:ind w:firstLine="0" w:left="1140"/>
        <w:jc w:val="both"/>
      </w:pPr>
      <w:r>
        <w:t>Для достижения указанной цели Программы необходимо решение следующих задач:</w:t>
      </w:r>
    </w:p>
    <w:p w14:paraId="73000000">
      <w:pPr>
        <w:pStyle w:val="Style_1"/>
        <w:numPr>
          <w:ilvl w:val="0"/>
          <w:numId w:val="4"/>
        </w:numPr>
        <w:tabs>
          <w:tab w:leader="none" w:pos="636" w:val="left"/>
        </w:tabs>
        <w:ind/>
        <w:jc w:val="both"/>
      </w:pPr>
      <w:bookmarkStart w:id="8" w:name="bookmark8"/>
      <w:bookmarkEnd w:id="8"/>
      <w:r>
        <w:t>сформировать сист</w:t>
      </w:r>
      <w:r>
        <w:t>ему современной профессиональной переподготовки, повышения квалификации</w:t>
      </w:r>
      <w:r>
        <w:tab/>
      </w:r>
      <w:r>
        <w:t>и стажировки</w:t>
      </w:r>
      <w:r>
        <w:tab/>
      </w:r>
      <w:r>
        <w:t>муниципальных служащих;</w:t>
      </w:r>
    </w:p>
    <w:p w14:paraId="74000000">
      <w:pPr>
        <w:pStyle w:val="Style_1"/>
        <w:numPr>
          <w:ilvl w:val="0"/>
          <w:numId w:val="4"/>
        </w:numPr>
        <w:tabs>
          <w:tab w:leader="none" w:pos="636" w:val="left"/>
        </w:tabs>
        <w:ind/>
        <w:jc w:val="both"/>
      </w:pPr>
      <w:r>
        <w:t>повысить эффективность подготовки муниципального резерва кадров; сформировать систему самостоятельной подготовки муниципальных служащих;</w:t>
      </w:r>
    </w:p>
    <w:p w14:paraId="75000000">
      <w:pPr>
        <w:pStyle w:val="Style_1"/>
        <w:numPr>
          <w:ilvl w:val="0"/>
          <w:numId w:val="4"/>
        </w:numPr>
        <w:tabs>
          <w:tab w:leader="none" w:pos="636" w:val="left"/>
        </w:tabs>
        <w:ind/>
        <w:jc w:val="both"/>
      </w:pPr>
      <w:bookmarkStart w:id="9" w:name="bookmark9"/>
      <w:bookmarkEnd w:id="9"/>
      <w:r>
        <w:t>усовершенс</w:t>
      </w:r>
      <w:r>
        <w:t>твовать кадровые технологии, применяемые в системе муниципальной службы.</w:t>
      </w:r>
    </w:p>
    <w:p w14:paraId="76000000">
      <w:pPr>
        <w:pStyle w:val="Style_1"/>
        <w:tabs>
          <w:tab w:leader="none" w:pos="306" w:val="left"/>
        </w:tabs>
        <w:spacing w:after="180" w:line="300" w:lineRule="auto"/>
        <w:ind w:firstLine="0" w:left="0"/>
        <w:jc w:val="center"/>
      </w:pPr>
    </w:p>
    <w:p w14:paraId="77000000">
      <w:pPr>
        <w:pStyle w:val="Style_1"/>
        <w:tabs>
          <w:tab w:leader="none" w:pos="306" w:val="left"/>
        </w:tabs>
        <w:spacing w:after="180" w:line="300" w:lineRule="auto"/>
        <w:ind w:firstLine="0" w:left="0"/>
        <w:jc w:val="center"/>
      </w:pPr>
      <w:r>
        <w:rPr>
          <w:b w:val="1"/>
          <w:sz w:val="23"/>
        </w:rPr>
        <w:t>3. Характеристика основных мероприятий программы</w:t>
      </w:r>
    </w:p>
    <w:p w14:paraId="78000000">
      <w:pPr>
        <w:pStyle w:val="Style_1"/>
        <w:tabs>
          <w:tab w:leader="none" w:pos="1615" w:val="left"/>
        </w:tabs>
        <w:spacing w:after="180" w:line="276" w:lineRule="auto"/>
        <w:ind/>
        <w:jc w:val="both"/>
      </w:pPr>
      <w:bookmarkStart w:id="10" w:name="bookmark11"/>
      <w:bookmarkEnd w:id="10"/>
      <w:r>
        <w:t xml:space="preserve">Реализация мероприятий муниципальной программы для муниципальных служащих, проведение обучающих семинаров с муниципальными служащими </w:t>
      </w:r>
      <w:r>
        <w:t>предусматривается в соответствии с договором на образовательные услуги: оплату труда разработчиков программ обучающих семинаров, организаторов и обслуживающего персонала, привлекаемых преподавателей и консультантов, материально-техническое обеспечение учеб</w:t>
      </w:r>
      <w:r>
        <w:t xml:space="preserve">ного процесса, осуществление научно-методического руководства обучающими семинарами, оплату услуг связи, тиражирования раздаточных материалов, а также изготовление сертификатов, вручаемых слушателям семинаров.                                               </w:t>
      </w:r>
      <w:r>
        <w:t xml:space="preserve">    Повышение квалификации муниципальных служащих (с получением удостоверения государственного образца) предусматривает в соответствии с договором на образовательные услуги: оплату труда организаторов, привлекаемых преподавателей и консультантов, материаль</w:t>
      </w:r>
      <w:r>
        <w:t>но-техническое обеспечение учебного процесса, научно-методическое руководство курсов повышения квалификации, оплату услуг связи, тиражирования раздаточных материалов.</w:t>
      </w:r>
    </w:p>
    <w:p w14:paraId="79000000">
      <w:pPr>
        <w:pStyle w:val="Style_1"/>
        <w:tabs>
          <w:tab w:leader="none" w:pos="1618" w:val="left"/>
        </w:tabs>
        <w:spacing w:after="180" w:line="276" w:lineRule="auto"/>
        <w:ind/>
        <w:jc w:val="both"/>
      </w:pPr>
      <w:bookmarkStart w:id="11" w:name="bookmark12"/>
      <w:bookmarkEnd w:id="11"/>
      <w:r>
        <w:t xml:space="preserve">Комплекс процессных мероприятий – мероприятия </w:t>
      </w:r>
      <w:r>
        <w:rPr>
          <w:sz w:val="20"/>
        </w:rPr>
        <w:t>по поддержке развития муниципальной службы:</w:t>
      </w:r>
    </w:p>
    <w:p w14:paraId="7A000000">
      <w:pPr>
        <w:pStyle w:val="Style_1"/>
        <w:numPr>
          <w:ilvl w:val="0"/>
          <w:numId w:val="5"/>
        </w:numPr>
        <w:spacing w:line="276" w:lineRule="auto"/>
        <w:ind/>
        <w:jc w:val="both"/>
      </w:pPr>
      <w:r>
        <w:t>совершенствование муниципальных правовых актов администрации Сосновское сельское поселение по вопросам развития муниципальной службы и противодействия коррупции;</w:t>
      </w:r>
    </w:p>
    <w:p w14:paraId="7B000000">
      <w:pPr>
        <w:pStyle w:val="Style_1"/>
        <w:numPr>
          <w:ilvl w:val="0"/>
          <w:numId w:val="5"/>
        </w:numPr>
        <w:spacing w:line="276" w:lineRule="auto"/>
        <w:ind/>
        <w:jc w:val="both"/>
      </w:pPr>
      <w:r>
        <w:t xml:space="preserve">повышение квалификации муниципальных служащих в администрации муниципального образования </w:t>
      </w:r>
      <w:r>
        <w:t>Сосновское сельское поселение ежегодно;</w:t>
      </w:r>
    </w:p>
    <w:p w14:paraId="7C000000">
      <w:pPr>
        <w:pStyle w:val="Style_1"/>
        <w:numPr>
          <w:ilvl w:val="0"/>
          <w:numId w:val="5"/>
        </w:numPr>
        <w:spacing w:line="276" w:lineRule="auto"/>
        <w:ind/>
        <w:jc w:val="both"/>
      </w:pPr>
      <w:r>
        <w:t xml:space="preserve">повышение эффективности работы с резервом кадров на замещение вакантных должностей муниципальной службы; </w:t>
      </w:r>
    </w:p>
    <w:p w14:paraId="7D000000">
      <w:pPr>
        <w:pStyle w:val="Style_1"/>
        <w:numPr>
          <w:ilvl w:val="0"/>
          <w:numId w:val="5"/>
        </w:numPr>
        <w:spacing w:line="276" w:lineRule="auto"/>
        <w:ind/>
        <w:jc w:val="both"/>
      </w:pPr>
      <w:r>
        <w:t>обеспечение внедрения и развития механизма предупреждения коррупции, выявления и разрешения конфликта интересо</w:t>
      </w:r>
      <w:r>
        <w:t>в на муниципальной службе;</w:t>
      </w:r>
    </w:p>
    <w:p w14:paraId="7E000000">
      <w:pPr>
        <w:pStyle w:val="Style_1"/>
        <w:numPr>
          <w:ilvl w:val="0"/>
          <w:numId w:val="5"/>
        </w:numPr>
        <w:spacing w:line="276" w:lineRule="auto"/>
        <w:ind/>
        <w:jc w:val="both"/>
      </w:pPr>
      <w:r>
        <w:t>повышение уровня открытости и гласности муниципальной службы;</w:t>
      </w:r>
    </w:p>
    <w:p w14:paraId="7F000000">
      <w:pPr>
        <w:pStyle w:val="Style_1"/>
        <w:numPr>
          <w:ilvl w:val="0"/>
          <w:numId w:val="5"/>
        </w:numPr>
        <w:spacing w:line="276" w:lineRule="auto"/>
        <w:ind/>
        <w:jc w:val="both"/>
      </w:pPr>
      <w:r>
        <w:t xml:space="preserve">аттестация на соответствие замещаемой должности муниципальных служащих администрации Сосновское сельское поселение, подлежащих аттестации в соответствии с </w:t>
      </w:r>
      <w:r>
        <w:t>утвержденным</w:t>
      </w:r>
      <w:r>
        <w:t>и</w:t>
      </w:r>
      <w:r>
        <w:t xml:space="preserve"> графиками.</w:t>
      </w:r>
      <w:bookmarkStart w:id="12" w:name="bookmark13"/>
      <w:bookmarkEnd w:id="12"/>
    </w:p>
    <w:p w14:paraId="80000000">
      <w:pPr>
        <w:pStyle w:val="Style_1"/>
        <w:spacing w:after="320" w:line="276" w:lineRule="auto"/>
        <w:ind w:firstLine="740" w:left="400"/>
        <w:jc w:val="both"/>
      </w:pPr>
    </w:p>
    <w:p w14:paraId="81000000">
      <w:pPr>
        <w:pStyle w:val="Style_1"/>
        <w:spacing w:after="320" w:line="276" w:lineRule="auto"/>
        <w:ind w:firstLine="740" w:left="400"/>
        <w:jc w:val="both"/>
      </w:pPr>
      <w:r>
        <w:rPr>
          <w:b w:val="1"/>
        </w:rPr>
        <w:t>4. Целевые показатели муниципальной программы</w:t>
      </w:r>
      <w:r>
        <w:rPr>
          <w:b w:val="1"/>
        </w:rPr>
        <w:br/>
      </w:r>
      <w:r>
        <w:rPr>
          <w:b w:val="1"/>
        </w:rPr>
        <w:t>«Развитие муниципальной службы в муниципальном образовании Сосновское сельское</w:t>
      </w:r>
      <w:r>
        <w:rPr>
          <w:b w:val="1"/>
        </w:rPr>
        <w:br/>
      </w:r>
      <w:r>
        <w:rPr>
          <w:b w:val="1"/>
        </w:rPr>
        <w:t>поселение муниципального образования Приозерский муниципальный район</w:t>
      </w:r>
      <w:r>
        <w:rPr>
          <w:b w:val="1"/>
        </w:rPr>
        <w:br/>
      </w:r>
      <w:r>
        <w:rPr>
          <w:b w:val="1"/>
        </w:rPr>
        <w:t>Ленинградской области на 2025-2030 годы»</w:t>
      </w:r>
    </w:p>
    <w:tbl>
      <w:tblPr>
        <w:tblStyle w:val="Style_5"/>
        <w:tblLayout w:type="fixed"/>
        <w:tblCellMar>
          <w:left w:type="dxa" w:w="10"/>
          <w:right w:type="dxa" w:w="10"/>
        </w:tblCellMar>
      </w:tblPr>
      <w:tblGrid>
        <w:gridCol w:w="527"/>
        <w:gridCol w:w="1552"/>
        <w:gridCol w:w="752"/>
        <w:gridCol w:w="958"/>
        <w:gridCol w:w="967"/>
        <w:gridCol w:w="693"/>
        <w:gridCol w:w="850"/>
        <w:gridCol w:w="851"/>
        <w:gridCol w:w="1134"/>
        <w:gridCol w:w="1286"/>
      </w:tblGrid>
      <w:tr>
        <w:trPr>
          <w:trHeight w:hRule="exact" w:val="2630"/>
        </w:trPr>
        <w:tc>
          <w:tcPr>
            <w:tcW w:type="dxa" w:w="5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№ строк</w:t>
            </w:r>
            <w:r>
              <w:rPr>
                <w:sz w:val="20"/>
              </w:rPr>
              <w:t>и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целевого показателя муниципальной подпрограммы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Ед. </w:t>
            </w:r>
          </w:p>
          <w:p w14:paraId="85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изм.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Значения целевых показателей по итогам 2025 года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Значения целевых показателей по итогам 2026 года</w:t>
            </w:r>
          </w:p>
        </w:tc>
        <w:tc>
          <w:tcPr>
            <w:tcW w:type="dxa" w:w="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Значения целевых показателей по итогам 2027 года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Значения целевых показателей по итога</w:t>
            </w:r>
            <w:r>
              <w:rPr>
                <w:sz w:val="20"/>
              </w:rPr>
              <w:t>м 2028 года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Значения целевых показателей по итогам 2029 года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Значения целевых показателей по итогам 2030 года</w:t>
            </w:r>
          </w:p>
        </w:tc>
        <w:tc>
          <w:tcPr>
            <w:tcW w:type="dxa" w:w="128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00000">
            <w:pPr>
              <w:pStyle w:val="Style_6"/>
              <w:tabs>
                <w:tab w:leader="none" w:pos="11220" w:val="left"/>
                <w:tab w:leader="none" w:pos="16688" w:val="left"/>
              </w:tabs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 целевого показателя на начало реализации муниципальной программы</w:t>
            </w:r>
          </w:p>
        </w:tc>
      </w:tr>
      <w:tr>
        <w:trPr>
          <w:trHeight w:hRule="exact" w:val="3037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Доля сотрудников, повысивших квалификацию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сотрудников в % соотношении от общей численности сотрудников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0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1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14:paraId="97000000">
      <w:pPr>
        <w:pStyle w:val="Style_1"/>
        <w:tabs>
          <w:tab w:leader="none" w:pos="1454" w:val="left"/>
        </w:tabs>
        <w:spacing w:after="120"/>
        <w:ind w:firstLine="0" w:left="1123"/>
        <w:jc w:val="center"/>
      </w:pPr>
      <w:bookmarkStart w:id="13" w:name="bookmark14"/>
      <w:bookmarkEnd w:id="13"/>
    </w:p>
    <w:p w14:paraId="98000000">
      <w:pPr>
        <w:pStyle w:val="Style_1"/>
        <w:tabs>
          <w:tab w:leader="none" w:pos="1454" w:val="left"/>
        </w:tabs>
        <w:spacing w:after="120"/>
        <w:ind w:firstLine="0" w:left="1123"/>
        <w:jc w:val="center"/>
      </w:pPr>
      <w:r>
        <w:rPr>
          <w:b w:val="1"/>
        </w:rPr>
        <w:t>5. Методика оценки эффективности муниципальной программы</w:t>
      </w:r>
    </w:p>
    <w:p w14:paraId="99000000">
      <w:pPr>
        <w:pStyle w:val="Style_1"/>
        <w:spacing w:line="276" w:lineRule="auto"/>
        <w:ind w:firstLine="740" w:left="400"/>
        <w:jc w:val="both"/>
      </w:pPr>
      <w:r>
        <w:t>Оценка результативности и эффективности реализации муниципальной программы осуществляется в соответствии с Порядком разработки, реализации и оценки эффективности муниципальных программ муниципального образования Сосновское сельское поселение муниципального</w:t>
      </w:r>
      <w:r>
        <w:t xml:space="preserve"> образования Приозерский муниципальный район Ленинградской области, </w:t>
      </w:r>
      <w:r>
        <w:t>утвержденным</w:t>
      </w:r>
      <w:r>
        <w:t xml:space="preserve"> Постановлением администрации от 17.12.2021 года№ 502.</w:t>
      </w:r>
    </w:p>
    <w:p w14:paraId="9A000000">
      <w:pPr>
        <w:pStyle w:val="Style_1"/>
        <w:spacing w:line="276" w:lineRule="auto"/>
        <w:ind w:firstLine="660" w:left="400"/>
      </w:pPr>
      <w:r>
        <w:t xml:space="preserve">Для </w:t>
      </w:r>
      <w:r>
        <w:t>расчета</w:t>
      </w:r>
      <w:r>
        <w:t xml:space="preserve"> эффективности реализации муниципальной программы используются индикаторы и показатели </w:t>
      </w:r>
      <w:r>
        <w:t>отчета</w:t>
      </w:r>
      <w:r>
        <w:t xml:space="preserve"> муниципальной пр</w:t>
      </w:r>
      <w:r>
        <w:t>ограммы.</w:t>
      </w:r>
    </w:p>
    <w:p w14:paraId="9B000000">
      <w:pPr>
        <w:pStyle w:val="Style_1"/>
        <w:spacing w:line="276" w:lineRule="auto"/>
        <w:ind w:firstLine="580" w:left="400"/>
      </w:pPr>
      <w:r>
        <w:t xml:space="preserve">Под результативностью понимается степень достижения запланированных показателей за </w:t>
      </w:r>
      <w:r>
        <w:t>счет</w:t>
      </w:r>
      <w:r>
        <w:t xml:space="preserve"> реализации мероприятий муниципальной программы.</w:t>
      </w:r>
    </w:p>
    <w:p w14:paraId="9C000000">
      <w:pPr>
        <w:pStyle w:val="Style_1"/>
        <w:spacing w:line="276" w:lineRule="auto"/>
        <w:ind w:firstLine="580" w:left="400"/>
      </w:pPr>
      <w:r>
        <w:t xml:space="preserve">Результативность измеряется </w:t>
      </w:r>
      <w:r>
        <w:t>путем</w:t>
      </w:r>
      <w:r>
        <w:t xml:space="preserve"> сопоставления фактически достигнутых значений показателей с плановыми значени</w:t>
      </w:r>
      <w:r>
        <w:t>ями.</w:t>
      </w:r>
    </w:p>
    <w:p w14:paraId="9D000000">
      <w:pPr>
        <w:pStyle w:val="Style_1"/>
        <w:spacing w:line="276" w:lineRule="auto"/>
        <w:ind w:firstLine="580" w:left="400"/>
      </w:pPr>
      <w:r>
        <w:t>В качестве критериев оценки результативности реализации муниципальной программы и программных мероприятий используется:</w:t>
      </w:r>
    </w:p>
    <w:p w14:paraId="9E000000">
      <w:pPr>
        <w:pStyle w:val="Style_1"/>
        <w:spacing w:line="276" w:lineRule="auto"/>
        <w:ind w:firstLine="980" w:left="0"/>
      </w:pPr>
      <w:r>
        <w:t>-индекс результативности</w:t>
      </w:r>
    </w:p>
    <w:p w14:paraId="9F000000">
      <w:pPr>
        <w:pStyle w:val="Style_1"/>
        <w:spacing w:line="276" w:lineRule="auto"/>
        <w:ind w:firstLine="980" w:left="0"/>
      </w:pPr>
      <w:r>
        <w:t>- интегральная оценка результативности.</w:t>
      </w:r>
    </w:p>
    <w:p w14:paraId="A0000000">
      <w:pPr>
        <w:pStyle w:val="Style_1"/>
        <w:spacing w:after="260" w:line="276" w:lineRule="auto"/>
        <w:ind w:firstLine="580" w:left="400"/>
      </w:pPr>
      <w:r>
        <w:t>Индекс результативности муниципальной программы (мероприятия) оцен</w:t>
      </w:r>
      <w:r>
        <w:t xml:space="preserve">ивается по каждому целевому показателю в год t и за </w:t>
      </w:r>
      <w:r>
        <w:t>расчетный</w:t>
      </w:r>
      <w:r>
        <w:t xml:space="preserve"> период Т:</w:t>
      </w:r>
    </w:p>
    <w:p w14:paraId="A1000000">
      <w:pPr>
        <w:ind/>
        <w:jc w:val="both"/>
        <w:rPr>
          <w:sz w:val="22"/>
        </w:rPr>
      </w:pPr>
      <w:r>
        <w:rPr>
          <w:sz w:val="22"/>
        </w:rPr>
        <w:t xml:space="preserve">                                        </w:t>
      </w:r>
      <w:r>
        <w:rPr>
          <w:sz w:val="22"/>
        </w:rPr>
        <w:t>Пфit</w:t>
      </w:r>
    </w:p>
    <w:p w14:paraId="A2000000">
      <w:pPr>
        <w:ind/>
        <w:jc w:val="both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>Рit</w:t>
      </w:r>
      <w:r>
        <w:rPr>
          <w:sz w:val="22"/>
        </w:rPr>
        <w:t xml:space="preserve"> = ------,</w:t>
      </w:r>
    </w:p>
    <w:p w14:paraId="A3000000">
      <w:pPr>
        <w:ind/>
        <w:jc w:val="both"/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>Ппit</w:t>
      </w:r>
    </w:p>
    <w:p w14:paraId="A4000000">
      <w:pPr>
        <w:ind w:firstLine="567" w:left="0"/>
        <w:jc w:val="both"/>
      </w:pPr>
      <w:r>
        <w:t>где:</w:t>
      </w:r>
    </w:p>
    <w:p w14:paraId="A5000000">
      <w:pPr>
        <w:pStyle w:val="Style_1"/>
        <w:ind w:firstLine="980" w:left="0"/>
      </w:pPr>
      <w:r>
        <w:t>Pit</w:t>
      </w:r>
      <w:r>
        <w:t xml:space="preserve"> - результативность достижения i-</w:t>
      </w:r>
      <w:r>
        <w:t>ro</w:t>
      </w:r>
      <w:r>
        <w:t xml:space="preserve"> показ</w:t>
      </w:r>
      <w:r>
        <w:t>ателя, характеризующего ход реализации муниципальной программы, в год t;</w:t>
      </w:r>
    </w:p>
    <w:p w14:paraId="A6000000">
      <w:pPr>
        <w:pStyle w:val="Style_1"/>
        <w:spacing w:line="228" w:lineRule="auto"/>
        <w:ind w:firstLine="580" w:left="480"/>
        <w:jc w:val="both"/>
      </w:pPr>
      <w:r>
        <w:t>Пфit</w:t>
      </w:r>
      <w:r>
        <w:t xml:space="preserve"> - фактическое значение i-</w:t>
      </w:r>
      <w:r>
        <w:t>ro</w:t>
      </w:r>
      <w:r>
        <w:t xml:space="preserve"> показателя, характеризующего реализацию муниципальной программы, в год t;</w:t>
      </w:r>
    </w:p>
    <w:p w14:paraId="A7000000">
      <w:pPr>
        <w:pStyle w:val="Style_1"/>
        <w:spacing w:line="228" w:lineRule="auto"/>
        <w:ind w:firstLine="580" w:left="480"/>
        <w:jc w:val="both"/>
      </w:pPr>
      <w:r>
        <w:t>Ппit</w:t>
      </w:r>
      <w:r>
        <w:t xml:space="preserve"> - плановое значение i-</w:t>
      </w:r>
      <w:r>
        <w:t>ro</w:t>
      </w:r>
      <w:r>
        <w:t xml:space="preserve"> показателя, характеризующего реализацию муниципальной программы, в год t;</w:t>
      </w:r>
    </w:p>
    <w:p w14:paraId="A8000000">
      <w:pPr>
        <w:pStyle w:val="Style_1"/>
        <w:spacing w:after="260" w:line="252" w:lineRule="auto"/>
        <w:ind w:firstLine="0" w:left="1060"/>
      </w:pPr>
      <w:r>
        <w:t>i - номер показателя муниципальной программы.</w:t>
      </w:r>
    </w:p>
    <w:p w14:paraId="A9000000">
      <w:pPr>
        <w:pStyle w:val="Style_1"/>
        <w:spacing w:line="264" w:lineRule="auto"/>
        <w:ind w:firstLine="60" w:left="480"/>
        <w:jc w:val="both"/>
      </w:pPr>
      <w:r>
        <w:t>Интегральная оценка результативности муниципальной программы в год t определяется по следующей формуле:</w:t>
      </w:r>
    </w:p>
    <w:p w14:paraId="AA000000">
      <w:pPr>
        <w:pStyle w:val="Style_1"/>
        <w:spacing w:line="264" w:lineRule="auto"/>
        <w:ind w:firstLine="0" w:left="2560"/>
      </w:pPr>
      <w:r>
        <w:t>ш</w:t>
      </w:r>
    </w:p>
    <w:p w14:paraId="AB000000">
      <w:pPr>
        <w:pStyle w:val="Style_1"/>
        <w:spacing w:line="252" w:lineRule="auto"/>
        <w:ind w:firstLine="0" w:left="2500"/>
      </w:pPr>
      <w:r>
        <w:t>SUM</w:t>
      </w:r>
      <w:r>
        <w:t xml:space="preserve"> </w:t>
      </w:r>
      <w:r>
        <w:t>Pit</w:t>
      </w:r>
    </w:p>
    <w:p w14:paraId="AC000000">
      <w:pPr>
        <w:pStyle w:val="Style_1"/>
        <w:spacing w:line="252" w:lineRule="auto"/>
        <w:ind w:firstLine="0" w:left="2560"/>
      </w:pPr>
      <w:r>
        <w:t>1</w:t>
      </w:r>
    </w:p>
    <w:p w14:paraId="AD000000">
      <w:pPr>
        <w:pStyle w:val="Style_1"/>
        <w:tabs>
          <w:tab w:leader="hyphen" w:pos="3217" w:val="left"/>
        </w:tabs>
        <w:spacing w:line="252" w:lineRule="auto"/>
        <w:ind w:firstLine="0" w:left="2180"/>
      </w:pPr>
      <w:r>
        <w:t>Ht</w:t>
      </w:r>
      <w:r>
        <w:t xml:space="preserve"> =</w:t>
      </w:r>
      <w:r>
        <w:tab/>
      </w:r>
      <w:r>
        <w:t>X 100,</w:t>
      </w:r>
    </w:p>
    <w:p w14:paraId="AE000000">
      <w:pPr>
        <w:pStyle w:val="Style_1"/>
        <w:spacing w:line="252" w:lineRule="auto"/>
        <w:ind w:firstLine="0" w:left="2660"/>
      </w:pPr>
      <w:r>
        <w:t>m</w:t>
      </w:r>
    </w:p>
    <w:p w14:paraId="AF000000">
      <w:pPr>
        <w:pStyle w:val="Style_1"/>
        <w:spacing w:line="252" w:lineRule="auto"/>
        <w:ind w:firstLine="0" w:left="1060"/>
      </w:pPr>
      <w:r>
        <w:t>где:</w:t>
      </w:r>
    </w:p>
    <w:p w14:paraId="B0000000">
      <w:pPr>
        <w:pStyle w:val="Style_1"/>
        <w:spacing w:line="252" w:lineRule="auto"/>
        <w:ind w:firstLine="0" w:left="1060"/>
        <w:jc w:val="both"/>
      </w:pPr>
      <w:r>
        <w:t>Ht</w:t>
      </w:r>
      <w:r>
        <w:t xml:space="preserve"> - интегральная оценка результативности Программы в год t (в процентах);</w:t>
      </w:r>
    </w:p>
    <w:p w14:paraId="B1000000">
      <w:pPr>
        <w:pStyle w:val="Style_1"/>
        <w:spacing w:line="252" w:lineRule="auto"/>
        <w:ind w:firstLine="0" w:left="1060"/>
        <w:jc w:val="both"/>
      </w:pPr>
      <w:r>
        <w:t>Pit</w:t>
      </w:r>
      <w:r>
        <w:t xml:space="preserve"> - индекс результативности по i-</w:t>
      </w:r>
      <w:r>
        <w:t>му</w:t>
      </w:r>
      <w:r>
        <w:t xml:space="preserve"> показателю </w:t>
      </w:r>
      <w:r>
        <w:rPr>
          <w:u w:val="single"/>
        </w:rPr>
        <w:t>&lt;1&gt;</w:t>
      </w:r>
      <w:r>
        <w:t xml:space="preserve"> в год t;</w:t>
      </w:r>
    </w:p>
    <w:p w14:paraId="B2000000">
      <w:pPr>
        <w:pStyle w:val="Style_1"/>
        <w:spacing w:after="260" w:line="252" w:lineRule="auto"/>
        <w:ind w:firstLine="0" w:left="1060"/>
        <w:jc w:val="both"/>
      </w:pPr>
      <w:r>
        <w:t>m - количество показателей Программы.</w:t>
      </w:r>
    </w:p>
    <w:p w14:paraId="B3000000">
      <w:pPr>
        <w:pStyle w:val="Style_1"/>
        <w:spacing w:after="260"/>
        <w:ind w:firstLine="0" w:left="1060"/>
        <w:jc w:val="both"/>
      </w:pPr>
      <w:r>
        <w:t xml:space="preserve">&lt;1&gt; Все целевые и </w:t>
      </w:r>
      <w:r>
        <w:t>объемные</w:t>
      </w:r>
      <w:r>
        <w:t xml:space="preserve"> показатели муниципальной программы являются равнозначными.</w:t>
      </w:r>
    </w:p>
    <w:p w14:paraId="B4000000">
      <w:pPr>
        <w:pStyle w:val="Style_1"/>
        <w:spacing w:after="260"/>
        <w:ind w:firstLine="60" w:left="480"/>
        <w:jc w:val="both"/>
      </w:pPr>
      <w:r>
        <w:t>Эффективность реализации Программы определяется как соотношение интегральной оценки результативности Программы и уровня финансирования:</w:t>
      </w:r>
    </w:p>
    <w:p w14:paraId="B5000000">
      <w:pPr>
        <w:pStyle w:val="Style_1"/>
        <w:ind w:firstLine="0" w:left="2660"/>
      </w:pPr>
      <w:r>
        <w:t>Ht</w:t>
      </w:r>
    </w:p>
    <w:p w14:paraId="B6000000">
      <w:pPr>
        <w:pStyle w:val="Style_1"/>
        <w:ind w:firstLine="0" w:left="0"/>
        <w:jc w:val="center"/>
      </w:pPr>
      <w:r>
        <w:t>3t = -— х 100,</w:t>
      </w:r>
    </w:p>
    <w:p w14:paraId="B7000000">
      <w:pPr>
        <w:pStyle w:val="Style_1"/>
        <w:ind w:firstLine="0" w:left="2660"/>
      </w:pPr>
      <w:r>
        <w:t>St</w:t>
      </w:r>
    </w:p>
    <w:p w14:paraId="B8000000">
      <w:pPr>
        <w:pStyle w:val="Style_1"/>
        <w:ind w:firstLine="0" w:left="1060"/>
      </w:pPr>
      <w:r>
        <w:t>где:</w:t>
      </w:r>
    </w:p>
    <w:p w14:paraId="B9000000">
      <w:pPr>
        <w:pStyle w:val="Style_1"/>
        <w:ind w:firstLine="0" w:left="1060"/>
      </w:pPr>
      <w:r>
        <w:t>3t - эффективность муниципальной п</w:t>
      </w:r>
      <w:r>
        <w:t>рограммы в год t;</w:t>
      </w:r>
    </w:p>
    <w:p w14:paraId="BA000000">
      <w:pPr>
        <w:pStyle w:val="Style_1"/>
        <w:ind w:firstLine="580" w:left="480"/>
        <w:jc w:val="both"/>
      </w:pPr>
      <w:r>
        <w:t>St</w:t>
      </w:r>
      <w:r>
        <w:t xml:space="preserve"> - уровень финансирования муниципальной программы в год t, определяется как отношение фактического </w:t>
      </w:r>
      <w:r>
        <w:t>объема</w:t>
      </w:r>
      <w:r>
        <w:t xml:space="preserve"> финансирования к запланированному </w:t>
      </w:r>
      <w:r>
        <w:t>объему</w:t>
      </w:r>
      <w:r>
        <w:t xml:space="preserve"> финансирования в год t;</w:t>
      </w:r>
    </w:p>
    <w:p w14:paraId="BB000000">
      <w:pPr>
        <w:pStyle w:val="Style_1"/>
        <w:spacing w:after="260"/>
        <w:ind w:firstLine="0" w:left="1060"/>
      </w:pPr>
      <w:r>
        <w:t>Ht</w:t>
      </w:r>
      <w:r>
        <w:t xml:space="preserve"> - интегральная оценка результативности муниципальной программы</w:t>
      </w:r>
      <w:r>
        <w:t xml:space="preserve"> в год t.</w:t>
      </w:r>
    </w:p>
    <w:p w14:paraId="BC000000">
      <w:pPr>
        <w:pStyle w:val="Style_1"/>
        <w:spacing w:line="276" w:lineRule="auto"/>
        <w:ind w:firstLine="580" w:left="480"/>
        <w:jc w:val="both"/>
      </w:pPr>
      <w:r>
        <w:t xml:space="preserve">При завершении </w:t>
      </w:r>
      <w:r>
        <w:t>расчетов</w:t>
      </w:r>
      <w:r>
        <w:t xml:space="preserve"> показателей формулируются выводы по оценке эффективности реализации муниципальной программы с </w:t>
      </w:r>
      <w:r>
        <w:t>учетом</w:t>
      </w:r>
      <w:r>
        <w:t xml:space="preserve"> следующих критериев:</w:t>
      </w:r>
    </w:p>
    <w:p w14:paraId="BD000000">
      <w:pPr>
        <w:pStyle w:val="Style_1"/>
        <w:spacing w:line="276" w:lineRule="auto"/>
        <w:ind w:firstLine="580" w:left="480"/>
        <w:jc w:val="both"/>
      </w:pPr>
      <w:r>
        <w:t xml:space="preserve">значение показателя (3t) от 90 до 110% - реализация муниципальной программы соответствует запланированным результатам при запланированном </w:t>
      </w:r>
      <w:r>
        <w:t>объеме</w:t>
      </w:r>
      <w:r>
        <w:t xml:space="preserve"> расходов - запланированная эффективность реализации муниципальной программы;</w:t>
      </w:r>
    </w:p>
    <w:p w14:paraId="BE000000">
      <w:pPr>
        <w:pStyle w:val="Style_1"/>
        <w:spacing w:line="276" w:lineRule="auto"/>
        <w:ind w:firstLine="580" w:left="480"/>
        <w:jc w:val="both"/>
      </w:pPr>
      <w:r>
        <w:t>значение показателя (3t) более 110</w:t>
      </w:r>
      <w:r>
        <w:t>% - эффективность реализации муниципальной программы более высокая по сравнению с запланированной;</w:t>
      </w:r>
    </w:p>
    <w:p w14:paraId="BF000000">
      <w:pPr>
        <w:pStyle w:val="Style_1"/>
        <w:spacing w:line="276" w:lineRule="auto"/>
        <w:ind w:firstLine="580" w:left="480"/>
        <w:jc w:val="both"/>
      </w:pPr>
      <w:r>
        <w:t>значение показателя (3t) от 50 до 90% - эффективность реализации муниципальной программы более низкая по сравнению с запланированной;</w:t>
      </w:r>
    </w:p>
    <w:p w14:paraId="C0000000">
      <w:pPr>
        <w:pStyle w:val="Style_1"/>
        <w:spacing w:line="276" w:lineRule="auto"/>
        <w:ind w:firstLine="580" w:left="480"/>
        <w:jc w:val="both"/>
      </w:pPr>
      <w:r>
        <w:t>значение показателя (3t</w:t>
      </w:r>
      <w:r>
        <w:t>) менее 50% - муниципальная программа реализуется неэффективно.</w:t>
      </w:r>
    </w:p>
    <w:p w14:paraId="C1000000">
      <w:pPr>
        <w:pStyle w:val="Style_1"/>
        <w:spacing w:after="140" w:line="276" w:lineRule="auto"/>
        <w:ind w:firstLine="580" w:left="480"/>
        <w:jc w:val="both"/>
      </w:pPr>
      <w:r>
        <w:t xml:space="preserve">В случае если эффективность реализации муниципальной программы более низкая по сравнению с запланированной или муниципальная программа реализуется неэффективно по итогам ежегодной оценки, </w:t>
      </w:r>
      <w:r>
        <w:t>формируется соответствующее заключение о внесении изменений в муниципальную программу или о досрочном прекращении реализации муниципальной программы.</w:t>
      </w:r>
    </w:p>
    <w:p w14:paraId="C2000000">
      <w:pPr>
        <w:pStyle w:val="Style_1"/>
        <w:tabs>
          <w:tab w:leader="none" w:pos="291" w:val="left"/>
        </w:tabs>
        <w:ind w:firstLine="0" w:left="0"/>
        <w:jc w:val="center"/>
      </w:pPr>
      <w:bookmarkStart w:id="14" w:name="bookmark15"/>
      <w:bookmarkEnd w:id="14"/>
      <w:r>
        <w:rPr>
          <w:b w:val="1"/>
        </w:rPr>
        <w:t>6. Расходы</w:t>
      </w:r>
    </w:p>
    <w:p w14:paraId="C3000000">
      <w:pPr>
        <w:pStyle w:val="Style_1"/>
        <w:spacing w:after="280" w:line="264" w:lineRule="auto"/>
        <w:ind w:firstLine="0" w:left="0"/>
        <w:jc w:val="center"/>
      </w:pPr>
      <w:r>
        <w:rPr>
          <w:b w:val="1"/>
        </w:rPr>
        <w:t>на реализацию муниципальной программы «Развитие муниципальной службы</w:t>
      </w:r>
      <w:r>
        <w:rPr>
          <w:b w:val="1"/>
        </w:rPr>
        <w:br/>
      </w:r>
      <w:r>
        <w:rPr>
          <w:b w:val="1"/>
        </w:rPr>
        <w:t>в муниципальном образовани</w:t>
      </w:r>
      <w:r>
        <w:rPr>
          <w:b w:val="1"/>
        </w:rPr>
        <w:t>и Сосновское сельское поселение муниципального</w:t>
      </w:r>
      <w:r>
        <w:rPr>
          <w:b w:val="1"/>
        </w:rPr>
        <w:br/>
      </w:r>
      <w:r>
        <w:rPr>
          <w:b w:val="1"/>
        </w:rPr>
        <w:t>образования Приозерский муниципальный район</w:t>
      </w:r>
      <w:r>
        <w:rPr>
          <w:b w:val="1"/>
        </w:rPr>
        <w:br/>
      </w:r>
      <w:r>
        <w:rPr>
          <w:b w:val="1"/>
        </w:rPr>
        <w:t>Ленинградской области на 2025-2030 годы»</w:t>
      </w:r>
    </w:p>
    <w:tbl>
      <w:tblPr>
        <w:tblStyle w:val="Style_5"/>
        <w:tblLayout w:type="fixed"/>
        <w:tblCellMar>
          <w:left w:type="dxa" w:w="10"/>
          <w:right w:type="dxa" w:w="10"/>
        </w:tblCellMar>
      </w:tblPr>
      <w:tblGrid>
        <w:gridCol w:w="665"/>
        <w:gridCol w:w="2924"/>
        <w:gridCol w:w="1164"/>
        <w:gridCol w:w="804"/>
        <w:gridCol w:w="900"/>
        <w:gridCol w:w="840"/>
        <w:gridCol w:w="768"/>
        <w:gridCol w:w="768"/>
        <w:gridCol w:w="948"/>
      </w:tblGrid>
      <w:tr>
        <w:trPr>
          <w:trHeight w:hRule="exact" w:val="295"/>
        </w:trPr>
        <w:tc>
          <w:tcPr>
            <w:tcW w:type="dxa" w:w="66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pStyle w:val="Style_6"/>
              <w:ind w:firstLine="0" w:left="0"/>
              <w:jc w:val="center"/>
            </w:pPr>
            <w:r>
              <w:t>№ строки</w:t>
            </w:r>
          </w:p>
        </w:tc>
        <w:tc>
          <w:tcPr>
            <w:tcW w:type="dxa" w:w="2924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00000">
            <w:pPr>
              <w:pStyle w:val="Style_6"/>
              <w:ind w:firstLine="0" w:left="0"/>
              <w:jc w:val="center"/>
            </w:pPr>
            <w:r>
              <w:t>Источники финансирования</w:t>
            </w:r>
          </w:p>
        </w:tc>
        <w:tc>
          <w:tcPr>
            <w:tcW w:type="dxa" w:w="1164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pStyle w:val="Style_6"/>
              <w:ind w:firstLine="0" w:left="0"/>
              <w:jc w:val="center"/>
            </w:pPr>
            <w:r>
              <w:t>Всего (тыс. рублей)</w:t>
            </w:r>
          </w:p>
        </w:tc>
        <w:tc>
          <w:tcPr>
            <w:tcW w:type="dxa" w:w="5028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7000000">
            <w:pPr>
              <w:pStyle w:val="Style_6"/>
              <w:ind w:firstLine="0" w:left="0"/>
              <w:jc w:val="center"/>
            </w:pPr>
            <w:r>
              <w:t>В том числе</w:t>
            </w:r>
          </w:p>
        </w:tc>
      </w:tr>
      <w:tr>
        <w:trPr>
          <w:trHeight w:hRule="exact" w:val="1411"/>
        </w:trPr>
        <w:tc>
          <w:tcPr>
            <w:tcW w:type="dxa" w:w="66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29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16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80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2028 год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2029 год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2030 год</w:t>
            </w:r>
          </w:p>
        </w:tc>
      </w:tr>
      <w:tr>
        <w:trPr>
          <w:trHeight w:hRule="exact" w:val="26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E000000">
            <w:pPr>
              <w:pStyle w:val="Style_6"/>
              <w:ind w:firstLine="0" w:left="0"/>
              <w:jc w:val="center"/>
            </w:pPr>
            <w:r>
              <w:t>1</w:t>
            </w: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F000000">
            <w:pPr>
              <w:pStyle w:val="Style_6"/>
              <w:ind w:firstLine="0" w:left="0"/>
              <w:jc w:val="center"/>
            </w:pPr>
            <w:r>
              <w:t>2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0000000">
            <w:pPr>
              <w:pStyle w:val="Style_6"/>
              <w:ind w:firstLine="0" w:left="0"/>
              <w:jc w:val="center"/>
            </w:pPr>
            <w:r>
              <w:t>3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1000000">
            <w:pPr>
              <w:pStyle w:val="Style_6"/>
              <w:ind w:firstLine="0" w:left="0"/>
              <w:jc w:val="center"/>
            </w:pPr>
            <w:r>
              <w:t>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2000000">
            <w:pPr>
              <w:pStyle w:val="Style_6"/>
              <w:ind w:firstLine="0" w:left="0"/>
              <w:jc w:val="center"/>
            </w:pPr>
            <w: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3000000">
            <w:pPr>
              <w:pStyle w:val="Style_6"/>
              <w:ind w:firstLine="0" w:left="0"/>
              <w:jc w:val="center"/>
            </w:pPr>
            <w:r>
              <w:t>6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4000000">
            <w:pPr>
              <w:pStyle w:val="Style_6"/>
              <w:ind w:firstLine="0" w:left="0"/>
              <w:jc w:val="center"/>
            </w:pPr>
            <w:r>
              <w:t>7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00000">
            <w:pPr>
              <w:pStyle w:val="Style_6"/>
              <w:ind w:firstLine="0" w:left="0"/>
              <w:jc w:val="center"/>
            </w:pPr>
            <w:r>
              <w:t>8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6000000">
            <w:pPr>
              <w:pStyle w:val="Style_6"/>
              <w:ind w:firstLine="0" w:left="0"/>
              <w:jc w:val="center"/>
            </w:pPr>
            <w:r>
              <w:t>9</w:t>
            </w:r>
          </w:p>
        </w:tc>
      </w:tr>
      <w:tr>
        <w:trPr>
          <w:trHeight w:hRule="exact" w:val="26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rPr>
                <w:sz w:val="10"/>
              </w:rPr>
            </w:pPr>
          </w:p>
        </w:tc>
        <w:tc>
          <w:tcPr>
            <w:tcW w:type="dxa" w:w="9116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800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 МУНИЦИПАЛЬНОЙ ПРОГРАММЫ</w:t>
            </w:r>
          </w:p>
          <w:p w14:paraId="D900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 МУНИЦИПАЛЬНОЙ ПРОГРАММЫ</w:t>
            </w:r>
          </w:p>
          <w:p w14:paraId="DA00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 МУНИЦИПАЛЬНОЙ ПРОГРАММЫ</w:t>
            </w:r>
          </w:p>
          <w:p w14:paraId="DB00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 МУНИЦИПАЛЬНОЙ ПРОГРАММЫ</w:t>
            </w:r>
          </w:p>
          <w:p w14:paraId="DC00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</w:t>
            </w:r>
            <w:r>
              <w:rPr>
                <w:rFonts w:ascii="Times New Roman" w:hAnsi="Times New Roman"/>
                <w:b w:val="1"/>
              </w:rPr>
              <w:t xml:space="preserve"> МУНИЦИПАЛЬНОЙ ПРОГРАММЫ</w:t>
            </w:r>
          </w:p>
          <w:p w14:paraId="DD000000">
            <w:pPr>
              <w:pStyle w:val="Style_6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Общие расходы на реализацию муниципальной программы</w:t>
            </w:r>
          </w:p>
        </w:tc>
      </w:tr>
      <w:tr>
        <w:trPr>
          <w:trHeight w:hRule="exact" w:val="28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E000000">
            <w:pPr>
              <w:rPr>
                <w:b w:val="1"/>
                <w:sz w:val="10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F000000">
            <w:pPr>
              <w:pStyle w:val="Style_6"/>
              <w:ind w:firstLine="0" w:left="0"/>
              <w:rPr>
                <w:b w:val="1"/>
              </w:rPr>
            </w:pPr>
            <w:r>
              <w:rPr>
                <w:b w:val="1"/>
              </w:rPr>
              <w:t>Всего: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558,8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258,8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2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3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400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---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---</w:t>
            </w:r>
          </w:p>
        </w:tc>
      </w:tr>
      <w:tr>
        <w:trPr>
          <w:trHeight w:hRule="exact" w:val="263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00000">
            <w:pPr>
              <w:rPr>
                <w:sz w:val="10"/>
              </w:rPr>
            </w:pPr>
          </w:p>
        </w:tc>
        <w:tc>
          <w:tcPr>
            <w:tcW w:type="dxa" w:w="9116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8000000">
            <w:pPr>
              <w:pStyle w:val="Style_6"/>
              <w:ind w:firstLine="0" w:left="0"/>
            </w:pPr>
            <w:r>
              <w:t xml:space="preserve">в том числе за </w:t>
            </w:r>
            <w:r>
              <w:t>счет</w:t>
            </w:r>
            <w:r>
              <w:t xml:space="preserve"> средств:</w:t>
            </w:r>
          </w:p>
        </w:tc>
      </w:tr>
      <w:tr>
        <w:trPr>
          <w:trHeight w:hRule="exact" w:val="497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rPr>
                <w:sz w:val="10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A000000">
            <w:pPr>
              <w:pStyle w:val="Style_6"/>
              <w:ind w:firstLine="0" w:left="0"/>
            </w:pPr>
            <w:r>
              <w:t>федерального бюджета (плановый объем)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F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ind/>
              <w:jc w:val="center"/>
            </w:pPr>
            <w:r>
              <w:t>---</w:t>
            </w:r>
          </w:p>
        </w:tc>
      </w:tr>
      <w:tr>
        <w:trPr>
          <w:trHeight w:hRule="exact" w:val="510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2000000">
            <w:pPr>
              <w:rPr>
                <w:sz w:val="10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3000000">
            <w:pPr>
              <w:pStyle w:val="Style_6"/>
              <w:ind w:firstLine="0" w:left="0"/>
            </w:pPr>
            <w:r>
              <w:t xml:space="preserve">областного бюджета (плановый </w:t>
            </w:r>
            <w:r>
              <w:t>объем)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ind/>
              <w:jc w:val="center"/>
            </w:pPr>
            <w:r>
              <w:t>---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ind/>
              <w:jc w:val="center"/>
            </w:pPr>
            <w:r>
              <w:t>---</w:t>
            </w:r>
          </w:p>
        </w:tc>
      </w:tr>
      <w:tr>
        <w:trPr>
          <w:trHeight w:hRule="exact" w:val="540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rPr>
                <w:sz w:val="10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C000000">
            <w:pPr>
              <w:pStyle w:val="Style_6"/>
              <w:ind w:firstLine="0" w:left="0"/>
            </w:pPr>
            <w:r>
              <w:t>местного бюджета (плановый объем)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558,8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rPr>
          <w:trHeight w:hRule="exact" w:val="540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10000">
            <w:pPr>
              <w:rPr>
                <w:sz w:val="10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5010000">
            <w:pPr>
              <w:pStyle w:val="Style_6"/>
              <w:ind w:firstLine="0" w:left="0"/>
            </w:pPr>
            <w:r>
              <w:t>Прочих источников (плановый объем)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ind/>
              <w:jc w:val="center"/>
            </w:pPr>
            <w: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10000">
            <w:pPr>
              <w:ind/>
              <w:jc w:val="center"/>
            </w:pPr>
            <w:r>
              <w:t>---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ind/>
              <w:jc w:val="center"/>
            </w:pPr>
            <w: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ind/>
              <w:jc w:val="center"/>
            </w:pPr>
            <w:r>
              <w:t>---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ind/>
              <w:jc w:val="center"/>
            </w:pPr>
            <w:r>
              <w:t>---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ind/>
              <w:jc w:val="center"/>
            </w:pPr>
            <w:r>
              <w:t>---</w:t>
            </w:r>
          </w:p>
        </w:tc>
        <w:tc>
          <w:tcPr>
            <w:tcW w:type="dxa" w:w="94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ind/>
              <w:jc w:val="center"/>
            </w:pPr>
            <w:r>
              <w:t>---</w:t>
            </w:r>
          </w:p>
        </w:tc>
      </w:tr>
    </w:tbl>
    <w:p w14:paraId="0D010000"/>
    <w:p w14:paraId="0E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7. Влияние внешних факторов и условий </w:t>
      </w:r>
    </w:p>
    <w:p w14:paraId="0F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на достижение целевых показателей </w:t>
      </w:r>
      <w:r>
        <w:rPr>
          <w:rFonts w:ascii="Times New Roman" w:hAnsi="Times New Roman"/>
          <w:b w:val="1"/>
          <w:sz w:val="22"/>
        </w:rPr>
        <w:t>муниципальной программы.</w:t>
      </w:r>
    </w:p>
    <w:p w14:paraId="10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p w14:paraId="11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12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Реализация мероприятий муниципальной программы сопряжена с возникновением и преодолением различных рисков, которые могут существенным образом повлиять на достижение запланированных результатов. </w:t>
      </w:r>
    </w:p>
    <w:p w14:paraId="13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рискам реализации муниципальной программы, которым может уп</w:t>
      </w:r>
      <w:r>
        <w:rPr>
          <w:rFonts w:ascii="Times New Roman" w:hAnsi="Times New Roman"/>
          <w:sz w:val="22"/>
        </w:rPr>
        <w:t>равлять ответственный исполнитель, уменьшая вероятность их возникновения, следует отнести следующие:</w:t>
      </w:r>
    </w:p>
    <w:p w14:paraId="14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Операционные риски, связанные с ошибками управления реализацией программы, в том числе отдельных </w:t>
      </w:r>
      <w:r>
        <w:rPr>
          <w:rFonts w:ascii="Times New Roman" w:hAnsi="Times New Roman"/>
          <w:sz w:val="22"/>
        </w:rPr>
        <w:t>ее</w:t>
      </w:r>
      <w:r>
        <w:rPr>
          <w:rFonts w:ascii="Times New Roman" w:hAnsi="Times New Roman"/>
          <w:sz w:val="22"/>
        </w:rPr>
        <w:t xml:space="preserve"> исполнителей, неготовности организационной инфрастру</w:t>
      </w:r>
      <w:r>
        <w:rPr>
          <w:rFonts w:ascii="Times New Roman" w:hAnsi="Times New Roman"/>
          <w:sz w:val="22"/>
        </w:rPr>
        <w:t xml:space="preserve">ктуры к решению задач, поставленных программой, что может привести к нецелевому и/или неэффективному использованию бюджетных средств, невыполнению ряда мероприятий программы, или задержке в их выполнении. </w:t>
      </w:r>
    </w:p>
    <w:p w14:paraId="15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Данный риск может быть качественно </w:t>
      </w:r>
      <w:r>
        <w:rPr>
          <w:rFonts w:ascii="Times New Roman" w:hAnsi="Times New Roman"/>
          <w:sz w:val="22"/>
        </w:rPr>
        <w:t>оценен</w:t>
      </w:r>
      <w:r>
        <w:rPr>
          <w:rFonts w:ascii="Times New Roman" w:hAnsi="Times New Roman"/>
          <w:sz w:val="22"/>
        </w:rPr>
        <w:t xml:space="preserve"> как умер</w:t>
      </w:r>
      <w:r>
        <w:rPr>
          <w:rFonts w:ascii="Times New Roman" w:hAnsi="Times New Roman"/>
          <w:sz w:val="22"/>
        </w:rPr>
        <w:t>енный, поскольку опыт реализации, других программ показывает возможность успешного управления данным риском.</w:t>
      </w:r>
    </w:p>
    <w:p w14:paraId="16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Риск исполнителей, который связан с возникновением проблем в реализации программы в результате недостаточной квалификации и (или) недобросовестн</w:t>
      </w:r>
      <w:r>
        <w:rPr>
          <w:rFonts w:ascii="Times New Roman" w:hAnsi="Times New Roman"/>
          <w:sz w:val="22"/>
        </w:rPr>
        <w:t>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отдельных мероприятий муниципал</w:t>
      </w:r>
      <w:r>
        <w:rPr>
          <w:rFonts w:ascii="Times New Roman" w:hAnsi="Times New Roman"/>
          <w:sz w:val="22"/>
        </w:rPr>
        <w:t>ьной программы.</w:t>
      </w:r>
    </w:p>
    <w:p w14:paraId="17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Организационный риск, который связан с несоответствием организационной инфраструктуры реализации программным задачам, задержкой формирования соответствующих организационных систем к сроку начала реализации мероприятий муниципальной прогр</w:t>
      </w:r>
      <w:r>
        <w:rPr>
          <w:rFonts w:ascii="Times New Roman" w:hAnsi="Times New Roman"/>
          <w:sz w:val="22"/>
        </w:rPr>
        <w:t>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координация их деятельности и отлаженных административных процед</w:t>
      </w:r>
      <w:r>
        <w:rPr>
          <w:rFonts w:ascii="Times New Roman" w:hAnsi="Times New Roman"/>
          <w:sz w:val="22"/>
        </w:rPr>
        <w:t>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мероприятий.</w:t>
      </w:r>
    </w:p>
    <w:p w14:paraId="18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Риск финансового обеспечения, который связан с финансированием муниципальной программ</w:t>
      </w:r>
      <w:r>
        <w:rPr>
          <w:rFonts w:ascii="Times New Roman" w:hAnsi="Times New Roman"/>
          <w:sz w:val="22"/>
        </w:rPr>
        <w:t xml:space="preserve">ы в неполном </w:t>
      </w:r>
      <w:r>
        <w:rPr>
          <w:rFonts w:ascii="Times New Roman" w:hAnsi="Times New Roman"/>
          <w:sz w:val="22"/>
        </w:rPr>
        <w:t>объеме</w:t>
      </w:r>
      <w:r>
        <w:rPr>
          <w:rFonts w:ascii="Times New Roman" w:hAnsi="Times New Roman"/>
          <w:sz w:val="22"/>
        </w:rPr>
        <w:t xml:space="preserve"> за </w:t>
      </w:r>
      <w:r>
        <w:rPr>
          <w:rFonts w:ascii="Times New Roman" w:hAnsi="Times New Roman"/>
          <w:sz w:val="22"/>
        </w:rPr>
        <w:t>счет</w:t>
      </w:r>
      <w:r>
        <w:rPr>
          <w:rFonts w:ascii="Times New Roman" w:hAnsi="Times New Roman"/>
          <w:sz w:val="22"/>
        </w:rPr>
        <w:t xml:space="preserve"> бюджетных источников. Данный риск возникает по причине значительной продолжительности муниципальной программы. Однако, учитывая практику реализации муниципальных программ риск сбоев в реализации программы по причине недофинансир</w:t>
      </w:r>
      <w:r>
        <w:rPr>
          <w:rFonts w:ascii="Times New Roman" w:hAnsi="Times New Roman"/>
          <w:sz w:val="22"/>
        </w:rPr>
        <w:t>ования можно считать умеренным.</w:t>
      </w:r>
    </w:p>
    <w:p w14:paraId="19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 Социальные риски, связанные с низкой социальной активностью населения, отсутствием массовой культуры соучастия в реализации программы.</w:t>
      </w:r>
    </w:p>
    <w:p w14:paraId="1A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Реализации муниципальной программы также угрожают следующие риски, которые связаны с и</w:t>
      </w:r>
      <w:r>
        <w:rPr>
          <w:rFonts w:ascii="Times New Roman" w:hAnsi="Times New Roman"/>
          <w:sz w:val="22"/>
        </w:rPr>
        <w:t>зменения внешней среды и которыми невозможно управлять в рамках реализации программы.</w:t>
      </w:r>
    </w:p>
    <w:p w14:paraId="1B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Риск ухудшения состояния экономики, что может привести к снижению бюджетных доходов, ухудшению динамики основных экономических показателей, в том числе повышению инфля</w:t>
      </w:r>
      <w:r>
        <w:rPr>
          <w:rFonts w:ascii="Times New Roman" w:hAnsi="Times New Roman"/>
          <w:sz w:val="22"/>
        </w:rPr>
        <w:t xml:space="preserve">ции, снижению доходов населения. Такой риск для реализации программы может быть качественно </w:t>
      </w:r>
      <w:r>
        <w:rPr>
          <w:rFonts w:ascii="Times New Roman" w:hAnsi="Times New Roman"/>
          <w:sz w:val="22"/>
        </w:rPr>
        <w:t>оценен</w:t>
      </w:r>
      <w:r>
        <w:rPr>
          <w:rFonts w:ascii="Times New Roman" w:hAnsi="Times New Roman"/>
          <w:sz w:val="22"/>
        </w:rPr>
        <w:t xml:space="preserve"> как высокий.</w:t>
      </w:r>
    </w:p>
    <w:p w14:paraId="1C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Риск возникновения обстоятельств непреодолимой силы, в том числе природных и техногенных катастроф и катаклизмов. На качественном уровне тако</w:t>
      </w:r>
      <w:r>
        <w:rPr>
          <w:rFonts w:ascii="Times New Roman" w:hAnsi="Times New Roman"/>
          <w:sz w:val="22"/>
        </w:rPr>
        <w:t>й риск для программы можно оценить как умеренный.</w:t>
      </w:r>
    </w:p>
    <w:p w14:paraId="1D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Управление рисками реализации муниципальной программы включает в себя:</w:t>
      </w:r>
    </w:p>
    <w:p w14:paraId="1E010000">
      <w:pPr>
        <w:spacing w:line="276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-предварительную идентификацию рисков, оценку вероятности возникновения и степени их влияния на достижение запланированных результатов </w:t>
      </w:r>
      <w:r>
        <w:rPr>
          <w:rFonts w:ascii="Times New Roman" w:hAnsi="Times New Roman"/>
          <w:sz w:val="22"/>
        </w:rPr>
        <w:t>муниципальной программы;</w:t>
      </w:r>
    </w:p>
    <w:p w14:paraId="1F010000">
      <w:pPr>
        <w:spacing w:line="276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-текущий мониторинг наступления рисков;</w:t>
      </w:r>
    </w:p>
    <w:p w14:paraId="20010000">
      <w:pPr>
        <w:spacing w:line="276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-планирование и осуществление мер по снижению вероятности и уменьшению негативных последствий возникновения рисков.</w:t>
      </w:r>
    </w:p>
    <w:p w14:paraId="21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ход реализации муниципальной программы существенное влияние оказывают фи</w:t>
      </w:r>
      <w:r>
        <w:rPr>
          <w:rFonts w:ascii="Times New Roman" w:hAnsi="Times New Roman"/>
          <w:sz w:val="22"/>
        </w:rPr>
        <w:t>нансовые и правовые риски.  Наиболее значимым финансовым риском является недостаток финансирования муниципальной программы, причины возникновения которого в большей степени определяются внешними факторами: увеличением непредвиденных расходов местного бюдже</w:t>
      </w:r>
      <w:r>
        <w:rPr>
          <w:rFonts w:ascii="Times New Roman" w:hAnsi="Times New Roman"/>
          <w:sz w:val="22"/>
        </w:rPr>
        <w:t>та, что может привести к пересмотру финансирования ранее принятых расходных обязательств по муниципальной программе. Наступление данного риска может повлечь за собой полное или частичное невыполнение мероприятий муниципальной программы и, как следствие, не</w:t>
      </w:r>
      <w:r>
        <w:rPr>
          <w:rFonts w:ascii="Times New Roman" w:hAnsi="Times New Roman"/>
          <w:sz w:val="22"/>
        </w:rPr>
        <w:t>достижение значений целевых показателей муниципальной программы.</w:t>
      </w:r>
    </w:p>
    <w:p w14:paraId="22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Снижение вероятности и минимизация последствий наступления риска, связанного с недостатком финансирования муниципальной программы, осуществляется при помощи следующих мер:</w:t>
      </w:r>
    </w:p>
    <w:p w14:paraId="23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соблюдение принципа</w:t>
      </w:r>
      <w:r>
        <w:rPr>
          <w:rFonts w:ascii="Times New Roman" w:hAnsi="Times New Roman"/>
          <w:sz w:val="22"/>
        </w:rPr>
        <w:t xml:space="preserve"> эффективности использования бюджетных средств;</w:t>
      </w:r>
    </w:p>
    <w:p w14:paraId="24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составление и </w:t>
      </w:r>
      <w:r>
        <w:rPr>
          <w:rFonts w:ascii="Times New Roman" w:hAnsi="Times New Roman"/>
          <w:sz w:val="22"/>
        </w:rPr>
        <w:t>исполнение ежемесячного графика финансирования</w:t>
      </w:r>
      <w:r>
        <w:rPr>
          <w:rFonts w:ascii="Times New Roman" w:hAnsi="Times New Roman"/>
          <w:sz w:val="22"/>
        </w:rPr>
        <w:t xml:space="preserve"> и своевременное использование финансовых средств при реализации мероприятий муниципальной программы;</w:t>
      </w:r>
    </w:p>
    <w:p w14:paraId="25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корректировка муниципальной программы в соотве</w:t>
      </w:r>
      <w:r>
        <w:rPr>
          <w:rFonts w:ascii="Times New Roman" w:hAnsi="Times New Roman"/>
          <w:sz w:val="22"/>
        </w:rPr>
        <w:t>тствии с фактическим уровнем финансирования и перераспределение средств между приоритетными направлениями муниципальной программы.</w:t>
      </w:r>
    </w:p>
    <w:p w14:paraId="26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Правовые риски реализации муниципальной программы связаны с возможными изменениями федерального и регионального законодательс</w:t>
      </w:r>
      <w:r>
        <w:rPr>
          <w:rFonts w:ascii="Times New Roman" w:hAnsi="Times New Roman"/>
          <w:sz w:val="22"/>
        </w:rPr>
        <w:t>тва.</w:t>
      </w:r>
    </w:p>
    <w:p w14:paraId="27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первую очередь данный риск может оказать влияние на изменение условий реализации мероприятий муниципальной программы.</w:t>
      </w:r>
    </w:p>
    <w:p w14:paraId="28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Снижение вероятности и минимизация последствий наступления рисков, связанных с изменением федерального и регионального законодатель</w:t>
      </w:r>
      <w:r>
        <w:rPr>
          <w:rFonts w:ascii="Times New Roman" w:hAnsi="Times New Roman"/>
          <w:sz w:val="22"/>
        </w:rPr>
        <w:t>ства, осуществляется при помощи следующих мер:</w:t>
      </w:r>
    </w:p>
    <w:p w14:paraId="29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регулярный мониторинг изменений федерального и регионального законодательства;</w:t>
      </w:r>
    </w:p>
    <w:p w14:paraId="2A010000">
      <w:pPr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проведение при необходимости корректировки мероприятий муниципальной программы и реализация мероприятий с учётом результатов прово</w:t>
      </w:r>
      <w:r>
        <w:rPr>
          <w:rFonts w:ascii="Times New Roman" w:hAnsi="Times New Roman"/>
          <w:sz w:val="22"/>
        </w:rPr>
        <w:t>димого мониторинга изменений федерального и регионального законодательства.</w:t>
      </w:r>
    </w:p>
    <w:p w14:paraId="2B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рамках реализации программы могут быть выявлены макроэкономические, законодательные, операционные, техногенные и экологические риски, свойственные программе в целом. </w:t>
      </w:r>
    </w:p>
    <w:p w14:paraId="2C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в экономике и возникновением бюджетного дефицита, могут привести к снижению </w:t>
      </w:r>
      <w:r>
        <w:rPr>
          <w:rFonts w:ascii="Times New Roman" w:hAnsi="Times New Roman"/>
          <w:sz w:val="22"/>
        </w:rPr>
        <w:t>объемов</w:t>
      </w:r>
      <w:r>
        <w:rPr>
          <w:rFonts w:ascii="Times New Roman" w:hAnsi="Times New Roman"/>
          <w:sz w:val="22"/>
        </w:rPr>
        <w:t xml:space="preserve"> бюджетного финан</w:t>
      </w:r>
      <w:r>
        <w:rPr>
          <w:rFonts w:ascii="Times New Roman" w:hAnsi="Times New Roman"/>
          <w:sz w:val="22"/>
        </w:rPr>
        <w:t xml:space="preserve">сирования программы, что отразится на реализации мероприятий программ и их результатах. </w:t>
      </w:r>
    </w:p>
    <w:p w14:paraId="2D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целях минимизации негативного влияния рисков на реализацию программы предусматривается: </w:t>
      </w:r>
    </w:p>
    <w:p w14:paraId="2E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создание эффективной системы управления и контроля реализации программы на</w:t>
      </w:r>
      <w:r>
        <w:rPr>
          <w:rFonts w:ascii="Times New Roman" w:hAnsi="Times New Roman"/>
          <w:sz w:val="22"/>
        </w:rPr>
        <w:t xml:space="preserve"> основе </w:t>
      </w:r>
      <w:r>
        <w:rPr>
          <w:rFonts w:ascii="Times New Roman" w:hAnsi="Times New Roman"/>
          <w:sz w:val="22"/>
        </w:rPr>
        <w:t>четкого</w:t>
      </w:r>
      <w:r>
        <w:rPr>
          <w:rFonts w:ascii="Times New Roman" w:hAnsi="Times New Roman"/>
          <w:sz w:val="22"/>
        </w:rPr>
        <w:t xml:space="preserve"> распределения функций, полномочий и ответственности соисполнителей и участников программы; </w:t>
      </w:r>
    </w:p>
    <w:p w14:paraId="2F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мониторинг выполнения программы, регулярный анализ и оперативное реагирование </w:t>
      </w:r>
      <w:r>
        <w:rPr>
          <w:rFonts w:ascii="Times New Roman" w:hAnsi="Times New Roman"/>
          <w:sz w:val="22"/>
        </w:rPr>
        <w:t>путем</w:t>
      </w:r>
      <w:r>
        <w:rPr>
          <w:rFonts w:ascii="Times New Roman" w:hAnsi="Times New Roman"/>
          <w:sz w:val="22"/>
        </w:rPr>
        <w:t xml:space="preserve"> внесения изменений в программу, снижающих воздействие негативн</w:t>
      </w:r>
      <w:r>
        <w:rPr>
          <w:rFonts w:ascii="Times New Roman" w:hAnsi="Times New Roman"/>
          <w:sz w:val="22"/>
        </w:rPr>
        <w:t xml:space="preserve">ых факторов на выполнение целевых показателей программы; </w:t>
      </w:r>
    </w:p>
    <w:p w14:paraId="30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при необходимости ежегодная корректировка индикаторов и показателей, а также мероприятий программы; </w:t>
      </w:r>
    </w:p>
    <w:p w14:paraId="31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проведение комплексного анализа внешней и внутренней среды исполнения программ с дальнейшим п</w:t>
      </w:r>
      <w:r>
        <w:rPr>
          <w:rFonts w:ascii="Times New Roman" w:hAnsi="Times New Roman"/>
          <w:sz w:val="22"/>
        </w:rPr>
        <w:t xml:space="preserve">ересмотром критериев оценки отбора мероприятий программ; </w:t>
      </w:r>
    </w:p>
    <w:p w14:paraId="32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перераспределение </w:t>
      </w:r>
      <w:r>
        <w:rPr>
          <w:rFonts w:ascii="Times New Roman" w:hAnsi="Times New Roman"/>
          <w:sz w:val="22"/>
        </w:rPr>
        <w:t>объемов</w:t>
      </w:r>
      <w:r>
        <w:rPr>
          <w:rFonts w:ascii="Times New Roman" w:hAnsi="Times New Roman"/>
          <w:sz w:val="22"/>
        </w:rPr>
        <w:t xml:space="preserve"> финансирования в зависимости от динамики и темпов достижения поставленных целей, изменений во внешней среде;</w:t>
      </w:r>
    </w:p>
    <w:p w14:paraId="33010000">
      <w:pPr>
        <w:widowControl w:val="1"/>
        <w:spacing w:line="276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проведение регулярной оценки результативности и эффективности реализации отдельных подпрограмм. </w:t>
      </w:r>
    </w:p>
    <w:p w14:paraId="34010000">
      <w:pPr>
        <w:widowControl w:val="1"/>
        <w:spacing w:line="276" w:lineRule="auto"/>
        <w:ind/>
        <w:rPr>
          <w:rFonts w:ascii="Calibri" w:hAnsi="Calibri"/>
          <w:sz w:val="22"/>
        </w:rPr>
      </w:pPr>
    </w:p>
    <w:p w14:paraId="35010000">
      <w:pPr>
        <w:sectPr>
          <w:pgSz w:h="16838" w:orient="portrait" w:w="11906"/>
          <w:pgMar w:bottom="426" w:footer="708" w:gutter="0" w:header="708" w:left="1418" w:right="707" w:top="426"/>
        </w:sectPr>
      </w:pPr>
    </w:p>
    <w:p w14:paraId="36010000"/>
    <w:p w14:paraId="37010000"/>
    <w:p w14:paraId="38010000">
      <w:pPr>
        <w:sectPr>
          <w:pgSz w:h="20160" w:orient="portrait" w:w="12240"/>
          <w:pgMar w:bottom="4436" w:footer="4008" w:gutter="0" w:header="58" w:left="1104" w:right="556" w:top="486"/>
        </w:sectPr>
      </w:pPr>
    </w:p>
    <w:p w14:paraId="39010000">
      <w:pPr>
        <w:pStyle w:val="Style_3"/>
        <w:tabs>
          <w:tab w:leader="none" w:pos="5248" w:val="left"/>
        </w:tabs>
        <w:spacing w:line="228" w:lineRule="auto"/>
        <w:ind/>
        <w:jc w:val="center"/>
        <w:rPr>
          <w:sz w:val="24"/>
        </w:rPr>
      </w:pPr>
      <w:bookmarkStart w:id="15" w:name="bookmark16"/>
      <w:bookmarkEnd w:id="15"/>
      <w:r>
        <w:rPr>
          <w:sz w:val="24"/>
        </w:rPr>
        <w:t>8. План реализации муниципальной программы</w:t>
      </w:r>
      <w:r>
        <w:rPr>
          <w:sz w:val="24"/>
        </w:rPr>
        <w:br/>
      </w:r>
      <w:r>
        <w:rPr>
          <w:sz w:val="24"/>
        </w:rPr>
        <w:t>«Развитие муниципальной службы в муниципальном образовании Сосновское сельско</w:t>
      </w:r>
      <w:r>
        <w:rPr>
          <w:sz w:val="24"/>
        </w:rPr>
        <w:t>е поселение муниципального образования Приозерский муниципальный район Ленинградской области на 2025-2030 годы»</w:t>
      </w:r>
    </w:p>
    <w:tbl>
      <w:tblPr>
        <w:tblStyle w:val="Style_5"/>
        <w:tblLayout w:type="fixed"/>
        <w:tblCellMar>
          <w:left w:type="dxa" w:w="10"/>
          <w:right w:type="dxa" w:w="10"/>
        </w:tblCellMar>
      </w:tblPr>
      <w:tblGrid>
        <w:gridCol w:w="2100"/>
        <w:gridCol w:w="1447"/>
        <w:gridCol w:w="1051"/>
        <w:gridCol w:w="919"/>
        <w:gridCol w:w="1051"/>
        <w:gridCol w:w="1182"/>
        <w:gridCol w:w="1182"/>
        <w:gridCol w:w="919"/>
      </w:tblGrid>
      <w:tr>
        <w:trPr>
          <w:trHeight w:hRule="exact" w:val="533"/>
        </w:trPr>
        <w:tc>
          <w:tcPr>
            <w:tcW w:type="dxa" w:w="21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государственной программы, подпрограммы, структурного элемента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type="dxa" w:w="105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Годы реализации</w:t>
            </w:r>
          </w:p>
        </w:tc>
        <w:tc>
          <w:tcPr>
            <w:tcW w:type="dxa" w:w="5253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z w:val="20"/>
              </w:rPr>
              <w:t>ценка расходов (тыс. руб. в ценах соответствующих лет)</w:t>
            </w:r>
          </w:p>
        </w:tc>
      </w:tr>
      <w:tr>
        <w:trPr>
          <w:trHeight w:hRule="exact" w:val="841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1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прочие источники</w:t>
            </w:r>
          </w:p>
        </w:tc>
      </w:tr>
      <w:tr>
        <w:trPr>
          <w:trHeight w:hRule="exact" w:val="338"/>
        </w:trPr>
        <w:tc>
          <w:tcPr>
            <w:tcW w:type="dxa" w:w="21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exact" w:val="400"/>
        </w:trPr>
        <w:tc>
          <w:tcPr>
            <w:tcW w:type="dxa" w:w="21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10000">
            <w:pPr>
              <w:pStyle w:val="Style_6"/>
              <w:spacing w:before="140"/>
              <w:ind w:firstLine="0" w:left="0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b w:val="1"/>
                <w:sz w:val="20"/>
              </w:rPr>
              <w:t xml:space="preserve"> «Развитие муниципальной службы в муниципальном образовании Сосновское сельское поселение муниципального образования Приозерский муниципальный район Ленинградской области на 2025-2030 годы»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pStyle w:val="Style_6"/>
              <w:spacing w:line="252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кадровым вопросам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E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258,8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F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258,8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10000">
            <w:pPr>
              <w:pStyle w:val="Style_6"/>
              <w:ind w:firstLine="540" w:lef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10000">
            <w:pPr>
              <w:pStyle w:val="Style_6"/>
              <w:ind w:firstLine="680" w:lef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662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2026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4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5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pStyle w:val="Style_6"/>
              <w:ind w:firstLine="540" w:lef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891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2027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A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B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891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2028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0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1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891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2029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6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7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10000">
            <w:pPr>
              <w:pStyle w:val="Style_6"/>
              <w:ind w:firstLine="0" w:left="0"/>
              <w:jc w:val="center"/>
              <w:rPr>
                <w:sz w:val="20"/>
              </w:rPr>
            </w:pPr>
          </w:p>
          <w:p w14:paraId="6B010000">
            <w:pPr>
              <w:pStyle w:val="Style_6"/>
              <w:ind w:firstLine="0" w:left="0"/>
              <w:jc w:val="center"/>
              <w:rPr>
                <w:sz w:val="20"/>
              </w:rPr>
            </w:pPr>
          </w:p>
          <w:p w14:paraId="6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891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2030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E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F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10000">
            <w:pPr>
              <w:pStyle w:val="Style_6"/>
              <w:ind w:firstLine="0" w:left="0"/>
              <w:jc w:val="center"/>
              <w:rPr>
                <w:sz w:val="20"/>
              </w:rPr>
            </w:pPr>
          </w:p>
          <w:p w14:paraId="73010000">
            <w:pPr>
              <w:pStyle w:val="Style_6"/>
              <w:ind w:firstLine="0" w:left="0"/>
              <w:jc w:val="center"/>
              <w:rPr>
                <w:sz w:val="20"/>
              </w:rPr>
            </w:pPr>
          </w:p>
          <w:p w14:paraId="74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1163"/>
        </w:trPr>
        <w:tc>
          <w:tcPr>
            <w:tcW w:type="dxa" w:w="21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10000">
            <w:pPr>
              <w:pStyle w:val="Style_6"/>
              <w:ind w:firstLine="0" w:left="0"/>
              <w:rPr>
                <w:sz w:val="20"/>
              </w:rPr>
            </w:pPr>
            <w:r>
              <w:rPr>
                <w:b w:val="1"/>
                <w:sz w:val="20"/>
              </w:rPr>
              <w:t>Итого по муниципальной программе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10000">
            <w:pPr>
              <w:rPr>
                <w:sz w:val="10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2025-2030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8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558,8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9010000">
            <w:pPr>
              <w:pStyle w:val="Style_6"/>
              <w:ind w:firstLine="0" w:left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558,8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___</w:t>
            </w:r>
          </w:p>
        </w:tc>
      </w:tr>
      <w:tr>
        <w:trPr>
          <w:trHeight w:hRule="exact" w:val="331"/>
        </w:trPr>
        <w:tc>
          <w:tcPr>
            <w:tcW w:type="dxa" w:w="9851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D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Проектная часть</w:t>
            </w:r>
          </w:p>
        </w:tc>
      </w:tr>
      <w:tr>
        <w:trPr>
          <w:trHeight w:hRule="exact" w:val="522"/>
        </w:trPr>
        <w:tc>
          <w:tcPr>
            <w:tcW w:type="dxa" w:w="9851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Не предусмотрена</w:t>
            </w:r>
          </w:p>
        </w:tc>
      </w:tr>
      <w:tr>
        <w:trPr>
          <w:trHeight w:hRule="exact" w:val="461"/>
        </w:trPr>
        <w:tc>
          <w:tcPr>
            <w:tcW w:type="dxa" w:w="9851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Процессная часть</w:t>
            </w:r>
          </w:p>
        </w:tc>
      </w:tr>
      <w:tr>
        <w:trPr>
          <w:trHeight w:hRule="exact" w:val="457"/>
        </w:trPr>
        <w:tc>
          <w:tcPr>
            <w:tcW w:type="dxa" w:w="9851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Комплекс процессных мероприятий </w:t>
            </w:r>
            <w:r>
              <w:rPr>
                <w:b w:val="1"/>
                <w:sz w:val="20"/>
              </w:rPr>
              <w:t>«Развитие муниципальной службы»</w:t>
            </w:r>
          </w:p>
        </w:tc>
      </w:tr>
      <w:tr>
        <w:trPr>
          <w:trHeight w:hRule="exact" w:val="313"/>
        </w:trPr>
        <w:tc>
          <w:tcPr>
            <w:tcW w:type="dxa" w:w="21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pStyle w:val="Style_6"/>
              <w:ind w:firstLine="0" w:left="0"/>
              <w:rPr>
                <w:sz w:val="20"/>
              </w:rPr>
            </w:pPr>
            <w:r>
              <w:rPr>
                <w:sz w:val="20"/>
              </w:rPr>
              <w:t>Мероприятия по поддержке развития муниципальной службы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rStyle w:val="Style_6_ch"/>
                <w:sz w:val="20"/>
              </w:rPr>
              <w:t>ведущий специалист по кадровым вопросам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258,8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5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258,8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10000">
            <w:pPr>
              <w:pStyle w:val="Style_6"/>
              <w:tabs>
                <w:tab w:leader="hyphen" w:pos="79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310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B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310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F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1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310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5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7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310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D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310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3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00,0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hRule="exact" w:val="338"/>
        </w:trPr>
        <w:tc>
          <w:tcPr>
            <w:tcW w:type="dxa" w:w="2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2025 - 2030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558,8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9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558,8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pStyle w:val="Style_6"/>
              <w:ind w:firstLine="520" w:lef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10000">
            <w:pPr>
              <w:pStyle w:val="Style_6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AD010000"/>
    <w:p w14:paraId="AE010000"/>
    <w:sectPr>
      <w:type w:val="continuous"/>
      <w:pgSz w:h="20160" w:orient="portrait" w:w="12240"/>
      <w:pgMar w:bottom="4464" w:footer="766" w:gutter="0" w:header="766" w:left="1194" w:right="1194" w:top="43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highlight w:val="white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spacing w:after="0" w:line="240" w:lineRule="auto"/>
      <w:ind/>
    </w:pPr>
    <w:rPr>
      <w:rFonts w:ascii="Microsoft Sans Serif" w:hAnsi="Microsoft Sans Serif"/>
      <w:sz w:val="24"/>
    </w:rPr>
  </w:style>
  <w:style w:default="1" w:styleId="Style_7_ch" w:type="character">
    <w:name w:val="Normal"/>
    <w:link w:val="Style_7"/>
    <w:rPr>
      <w:rFonts w:ascii="Microsoft Sans Serif" w:hAnsi="Microsoft Sans Serif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Основной текст1"/>
    <w:basedOn w:val="Style_7"/>
    <w:link w:val="Style_1_ch"/>
    <w:pPr>
      <w:ind w:firstLine="400" w:left="0"/>
    </w:pPr>
    <w:rPr>
      <w:rFonts w:ascii="Times New Roman" w:hAnsi="Times New Roman"/>
      <w:sz w:val="22"/>
    </w:rPr>
  </w:style>
  <w:style w:styleId="Style_1_ch" w:type="character">
    <w:name w:val="Основной текст1"/>
    <w:basedOn w:val="Style_7_ch"/>
    <w:link w:val="Style_1"/>
    <w:rPr>
      <w:rFonts w:ascii="Times New Roman" w:hAnsi="Times New Roman"/>
      <w:sz w:val="22"/>
    </w:rPr>
  </w:style>
  <w:style w:styleId="Style_12" w:type="paragraph">
    <w:name w:val="heading 3"/>
    <w:next w:val="Style_7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Основной текст (2)"/>
    <w:basedOn w:val="Style_7"/>
    <w:link w:val="Style_3_ch"/>
    <w:pPr>
      <w:spacing w:after="220"/>
      <w:ind/>
      <w:jc w:val="right"/>
    </w:pPr>
    <w:rPr>
      <w:rFonts w:ascii="Times New Roman" w:hAnsi="Times New Roman"/>
      <w:b w:val="1"/>
      <w:sz w:val="20"/>
    </w:rPr>
  </w:style>
  <w:style w:styleId="Style_3_ch" w:type="character">
    <w:name w:val="Основной текст (2)"/>
    <w:basedOn w:val="Style_7_ch"/>
    <w:link w:val="Style_3"/>
    <w:rPr>
      <w:rFonts w:ascii="Times New Roman" w:hAnsi="Times New Roman"/>
      <w:b w:val="1"/>
      <w:sz w:val="20"/>
    </w:rPr>
  </w:style>
  <w:style w:styleId="Style_13" w:type="paragraph">
    <w:name w:val="toc 3"/>
    <w:next w:val="Style_7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7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Обычный1"/>
    <w:link w:val="Style_15_ch"/>
    <w:rPr>
      <w:rFonts w:ascii="Microsoft Sans Serif" w:hAnsi="Microsoft Sans Serif"/>
      <w:color w:val="000000"/>
      <w:sz w:val="24"/>
    </w:rPr>
  </w:style>
  <w:style w:styleId="Style_15_ch" w:type="character">
    <w:name w:val="Обычный1"/>
    <w:link w:val="Style_15"/>
    <w:rPr>
      <w:rFonts w:ascii="Microsoft Sans Serif" w:hAnsi="Microsoft Sans Serif"/>
      <w:color w:val="000000"/>
      <w:sz w:val="24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7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7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4" w:type="paragraph">
    <w:name w:val="Основной текст (3)"/>
    <w:basedOn w:val="Style_7"/>
    <w:link w:val="Style_4_ch"/>
    <w:pPr>
      <w:spacing w:after="8380" w:before="4820"/>
      <w:ind/>
      <w:jc w:val="center"/>
    </w:pPr>
    <w:rPr>
      <w:rFonts w:ascii="Times New Roman" w:hAnsi="Times New Roman"/>
      <w:b w:val="1"/>
      <w:sz w:val="28"/>
    </w:rPr>
  </w:style>
  <w:style w:styleId="Style_4_ch" w:type="character">
    <w:name w:val="Основной текст (3)"/>
    <w:basedOn w:val="Style_7_ch"/>
    <w:link w:val="Style_4"/>
    <w:rPr>
      <w:rFonts w:ascii="Times New Roman" w:hAnsi="Times New Roman"/>
      <w:b w:val="1"/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Balloon Text"/>
    <w:basedOn w:val="Style_7"/>
    <w:link w:val="Style_26_ch"/>
    <w:rPr>
      <w:rFonts w:ascii="Segoe UI" w:hAnsi="Segoe UI"/>
      <w:sz w:val="18"/>
    </w:rPr>
  </w:style>
  <w:style w:styleId="Style_26_ch" w:type="character">
    <w:name w:val="Balloon Text"/>
    <w:basedOn w:val="Style_7_ch"/>
    <w:link w:val="Style_26"/>
    <w:rPr>
      <w:rFonts w:ascii="Segoe UI" w:hAnsi="Segoe UI"/>
      <w:sz w:val="18"/>
    </w:rPr>
  </w:style>
  <w:style w:styleId="Style_6" w:type="paragraph">
    <w:name w:val="Другое"/>
    <w:basedOn w:val="Style_7"/>
    <w:link w:val="Style_6_ch"/>
    <w:pPr>
      <w:ind w:firstLine="400" w:left="0"/>
    </w:pPr>
    <w:rPr>
      <w:rFonts w:ascii="Times New Roman" w:hAnsi="Times New Roman"/>
      <w:sz w:val="22"/>
    </w:rPr>
  </w:style>
  <w:style w:styleId="Style_6_ch" w:type="character">
    <w:name w:val="Другое"/>
    <w:basedOn w:val="Style_7_ch"/>
    <w:link w:val="Style_6"/>
    <w:rPr>
      <w:rFonts w:ascii="Times New Roman" w:hAnsi="Times New Roman"/>
      <w:sz w:val="22"/>
    </w:rPr>
  </w:style>
  <w:style w:styleId="Style_27" w:type="paragraph">
    <w:name w:val="toc 5"/>
    <w:next w:val="Style_7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7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" w:type="paragraph">
    <w:name w:val="Основной текст (4)"/>
    <w:basedOn w:val="Style_7"/>
    <w:link w:val="Style_2_ch"/>
    <w:pPr>
      <w:spacing w:after="120" w:line="228" w:lineRule="auto"/>
      <w:ind/>
    </w:pPr>
    <w:rPr>
      <w:rFonts w:ascii="Times New Roman" w:hAnsi="Times New Roman"/>
      <w:sz w:val="16"/>
    </w:rPr>
  </w:style>
  <w:style w:styleId="Style_2_ch" w:type="character">
    <w:name w:val="Основной текст (4)"/>
    <w:basedOn w:val="Style_7_ch"/>
    <w:link w:val="Style_2"/>
    <w:rPr>
      <w:rFonts w:ascii="Times New Roman" w:hAnsi="Times New Roman"/>
      <w:sz w:val="16"/>
    </w:rPr>
  </w:style>
  <w:style w:styleId="Style_29" w:type="paragraph">
    <w:name w:val="Title"/>
    <w:next w:val="Style_7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7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7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2026-02-03T13:49:22Z</dcterms:modified>
</cp:coreProperties>
</file>