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 ходе реализации муниципальной программы </w:t>
      </w:r>
    </w:p>
    <w:p w14:paraId="03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Развитие физической культуры и спорта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в муниципальном образовании 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Сосновское сельское поселение на 2025-2030 годы </w:t>
      </w:r>
    </w:p>
    <w:p w14:paraId="05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мероприятий муниципальной программы</w:t>
      </w:r>
    </w:p>
    <w:p w14:paraId="06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7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08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</w:t>
      </w:r>
      <w:r>
        <w:t xml:space="preserve"> 2025 </w:t>
      </w:r>
      <w:r>
        <w:t>г.</w:t>
      </w: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433"/>
        <w:gridCol w:w="3834"/>
        <w:gridCol w:w="3542"/>
        <w:gridCol w:w="1096"/>
        <w:gridCol w:w="1369"/>
        <w:gridCol w:w="822"/>
        <w:gridCol w:w="2602"/>
      </w:tblGrid>
      <w:tr>
        <w:trPr>
          <w:trHeight w:hRule="atLeast" w:val="400"/>
        </w:trPr>
        <w:tc>
          <w:tcPr>
            <w:tcW w:type="dxa" w:w="14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14:paraId="0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type="dxa" w:w="38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type="dxa" w:w="3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32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целевого показателя</w:t>
            </w:r>
          </w:p>
        </w:tc>
        <w:tc>
          <w:tcPr>
            <w:tcW w:type="dxa" w:w="26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планируемое</w:t>
            </w:r>
          </w:p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 текущий год</w:t>
            </w:r>
          </w:p>
        </w:tc>
        <w:tc>
          <w:tcPr>
            <w:tcW w:type="dxa" w:w="13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фактическое </w:t>
            </w:r>
          </w:p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 отчетный период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выполнения</w:t>
            </w:r>
          </w:p>
        </w:tc>
        <w:tc>
          <w:tcPr>
            <w:tcW w:type="dxa" w:w="26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4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3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6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ind/>
              <w:jc w:val="center"/>
            </w:pPr>
            <w:r>
              <w:t>1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r>
              <w:t>Доля населения, систематически занимающегося физической культурой</w:t>
            </w:r>
          </w:p>
        </w:tc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ind/>
              <w:jc w:val="center"/>
            </w:pPr>
            <w:r>
              <w:t>количество человек в % соотношении от общей численности населения поселения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ind/>
              <w:jc w:val="center"/>
            </w:pPr>
            <w:r>
              <w:t>15,6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ind/>
              <w:jc w:val="center"/>
            </w:pPr>
            <w:r>
              <w:t>52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00000">
            <w:pPr>
              <w:ind/>
              <w:jc w:val="center"/>
            </w:pPr>
            <w:r>
              <w:t>Достижение плановых показателей IV</w:t>
            </w:r>
          </w:p>
          <w:p w14:paraId="22000000">
            <w:pPr>
              <w:ind/>
              <w:jc w:val="center"/>
            </w:pPr>
            <w:r>
              <w:t>квартал 2025</w:t>
            </w:r>
            <w:r>
              <w:t xml:space="preserve"> г.</w:t>
            </w:r>
          </w:p>
        </w:tc>
      </w:tr>
      <w:tr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ind/>
              <w:jc w:val="center"/>
            </w:pPr>
            <w:r>
              <w:t>2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ind/>
              <w:jc w:val="center"/>
            </w:pPr>
            <w:r>
              <w:t>количество человек в % соотношении от общей численности обещающихся и студентов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z w:val="23"/>
              </w:rPr>
              <w:t>9</w:t>
            </w:r>
            <w:r>
              <w:rPr>
                <w:sz w:val="23"/>
              </w:rPr>
              <w:t>,0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ind/>
              <w:jc w:val="center"/>
            </w:pPr>
            <w:r>
              <w:t>20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ind/>
              <w:jc w:val="center"/>
            </w:pPr>
            <w:r>
              <w:t>51,3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ind/>
              <w:jc w:val="center"/>
            </w:pPr>
            <w:r>
              <w:t>Достижение плановых показателей IV</w:t>
            </w:r>
          </w:p>
          <w:p w14:paraId="2A000000">
            <w:pPr>
              <w:ind/>
              <w:jc w:val="center"/>
            </w:pPr>
            <w:r>
              <w:t>квартал 2025</w:t>
            </w:r>
            <w:r>
              <w:t xml:space="preserve"> г.</w:t>
            </w:r>
          </w:p>
        </w:tc>
      </w:tr>
      <w:tr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ind/>
              <w:jc w:val="center"/>
            </w:pPr>
            <w:r>
              <w:t>3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r>
              <w:t>Доля лиц с органичными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ind/>
              <w:jc w:val="center"/>
            </w:pPr>
            <w:r>
              <w:t>количество человек в % соотношении от общей численности населения поселения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ind/>
              <w:jc w:val="center"/>
            </w:pPr>
            <w:r>
              <w:t>2,0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ind/>
              <w:jc w:val="center"/>
            </w:pPr>
            <w:r>
              <w:t>57,1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ind/>
              <w:jc w:val="center"/>
            </w:pPr>
            <w:r>
              <w:t>Достижение плановых показателей IV</w:t>
            </w:r>
          </w:p>
          <w:p w14:paraId="32000000">
            <w:pPr>
              <w:ind/>
              <w:jc w:val="center"/>
            </w:pPr>
            <w:r>
              <w:t>квартал 2025</w:t>
            </w:r>
            <w:r>
              <w:t xml:space="preserve"> г.</w:t>
            </w:r>
          </w:p>
        </w:tc>
      </w:tr>
      <w:tr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ind/>
              <w:jc w:val="center"/>
            </w:pPr>
            <w:r>
              <w:t>4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r>
              <w:t>Строительство модульного строения</w:t>
            </w:r>
          </w:p>
        </w:tc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ind/>
              <w:jc w:val="center"/>
            </w:pPr>
            <w:r>
              <w:t>ед.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ind/>
              <w:jc w:val="center"/>
            </w:pPr>
            <w:r>
              <w:t>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ind/>
              <w:jc w:val="center"/>
            </w:pPr>
            <w:r>
              <w:t>0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ind/>
              <w:jc w:val="center"/>
            </w:pPr>
            <w:r>
              <w:t>Достижение плановых показателей IV</w:t>
            </w:r>
          </w:p>
          <w:p w14:paraId="3A000000">
            <w:pPr>
              <w:ind/>
              <w:jc w:val="center"/>
            </w:pPr>
            <w:r>
              <w:t>квартал 2025</w:t>
            </w:r>
            <w:r>
              <w:t xml:space="preserve"> г.</w:t>
            </w:r>
          </w:p>
        </w:tc>
      </w:tr>
      <w:tr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ind/>
              <w:jc w:val="center"/>
            </w:pPr>
            <w:r>
              <w:t>5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r>
              <w:t>Проектирование хоккейной площадки</w:t>
            </w:r>
          </w:p>
        </w:tc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ind/>
              <w:jc w:val="center"/>
            </w:pPr>
            <w:r>
              <w:t>ед.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ind/>
              <w:jc w:val="center"/>
            </w:pPr>
            <w:r>
              <w:t>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ind/>
              <w:jc w:val="center"/>
            </w:pPr>
            <w:r>
              <w:t>0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ind/>
              <w:jc w:val="center"/>
            </w:pPr>
            <w:r>
              <w:t>Достижение плановых показателей IV</w:t>
            </w:r>
          </w:p>
          <w:p w14:paraId="42000000">
            <w:pPr>
              <w:ind/>
              <w:jc w:val="center"/>
            </w:pPr>
            <w:r>
              <w:t>квартал 2025</w:t>
            </w:r>
            <w:r>
              <w:t xml:space="preserve"> г.</w:t>
            </w:r>
          </w:p>
        </w:tc>
      </w:tr>
      <w:tr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ind/>
              <w:jc w:val="center"/>
            </w:pPr>
            <w:r>
              <w:t>6</w:t>
            </w:r>
          </w:p>
        </w:tc>
        <w:tc>
          <w:tcPr>
            <w:tcW w:type="dxa" w:w="3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r>
              <w:t>Приобретение нового спортивного оборудования</w:t>
            </w:r>
          </w:p>
        </w:tc>
        <w:tc>
          <w:tcPr>
            <w:tcW w:type="dxa" w:w="3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ind/>
              <w:jc w:val="center"/>
            </w:pPr>
            <w:r>
              <w:t>ед.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0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ind/>
              <w:jc w:val="center"/>
            </w:pPr>
            <w:r>
              <w:t>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ind/>
              <w:jc w:val="center"/>
            </w:pPr>
            <w:r>
              <w:t>0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00000">
            <w:pPr>
              <w:ind/>
              <w:jc w:val="center"/>
            </w:pPr>
            <w:r>
              <w:t>Достижение плановых показателей IV</w:t>
            </w:r>
          </w:p>
          <w:p w14:paraId="4A000000">
            <w:pPr>
              <w:ind/>
              <w:jc w:val="center"/>
            </w:pPr>
            <w:r>
              <w:t>квартал 2025</w:t>
            </w:r>
            <w:r>
              <w:t xml:space="preserve"> г.</w:t>
            </w:r>
          </w:p>
        </w:tc>
      </w:tr>
    </w:tbl>
    <w:p w14:paraId="4B000000">
      <w:pPr>
        <w:widowControl w:val="0"/>
        <w:ind/>
        <w:jc w:val="center"/>
        <w:rPr>
          <w:sz w:val="24"/>
        </w:rPr>
      </w:pPr>
      <w:r>
        <w:rPr>
          <w:sz w:val="18"/>
        </w:rPr>
        <w:t>*графа 7 - п</w:t>
      </w:r>
      <w:r>
        <w:rPr>
          <w:sz w:val="18"/>
        </w:rPr>
        <w:t>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</w:p>
    <w:p w14:paraId="4C000000">
      <w:pPr>
        <w:widowControl w:val="0"/>
        <w:ind/>
        <w:jc w:val="center"/>
        <w:rPr>
          <w:sz w:val="24"/>
        </w:rPr>
      </w:pPr>
    </w:p>
    <w:p w14:paraId="4D000000">
      <w:pPr>
        <w:widowControl w:val="0"/>
        <w:ind/>
        <w:jc w:val="center"/>
        <w:rPr>
          <w:sz w:val="24"/>
        </w:rPr>
      </w:pPr>
    </w:p>
    <w:p w14:paraId="4E000000">
      <w:pPr>
        <w:widowControl w:val="0"/>
        <w:ind/>
        <w:jc w:val="center"/>
        <w:rPr>
          <w:sz w:val="24"/>
        </w:rPr>
      </w:pPr>
    </w:p>
    <w:p w14:paraId="4F000000">
      <w:pPr>
        <w:widowControl w:val="0"/>
        <w:ind/>
        <w:jc w:val="center"/>
        <w:rPr>
          <w:sz w:val="24"/>
        </w:rPr>
      </w:pPr>
    </w:p>
    <w:p w14:paraId="50000000">
      <w:pPr>
        <w:widowControl w:val="0"/>
        <w:ind/>
        <w:jc w:val="center"/>
        <w:rPr>
          <w:sz w:val="24"/>
        </w:rPr>
      </w:pPr>
    </w:p>
    <w:p w14:paraId="51000000">
      <w:pPr>
        <w:widowControl w:val="0"/>
        <w:ind/>
        <w:jc w:val="center"/>
        <w:rPr>
          <w:sz w:val="24"/>
        </w:rPr>
      </w:pPr>
    </w:p>
    <w:p w14:paraId="52000000">
      <w:pPr>
        <w:widowControl w:val="0"/>
        <w:ind/>
        <w:jc w:val="center"/>
        <w:rPr>
          <w:sz w:val="24"/>
        </w:rPr>
      </w:pPr>
      <w:r>
        <w:rPr>
          <w:sz w:val="24"/>
        </w:rPr>
        <w:t>2</w:t>
      </w:r>
      <w:r>
        <w:rPr>
          <w:sz w:val="24"/>
        </w:rPr>
        <w:t>. Выполнение плана мероприятий</w:t>
      </w:r>
    </w:p>
    <w:p w14:paraId="53000000">
      <w:pPr>
        <w:widowControl w:val="0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(ежеквартально нарастающим итогом)</w:t>
      </w:r>
    </w:p>
    <w:p w14:paraId="54000000">
      <w:pPr>
        <w:widowControl w:val="0"/>
        <w:ind w:firstLine="540" w:left="0"/>
        <w:jc w:val="both"/>
        <w:rPr>
          <w:sz w:val="24"/>
        </w:rPr>
      </w:pPr>
    </w:p>
    <w:p w14:paraId="55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 2025 г.</w:t>
      </w: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89"/>
        <w:gridCol w:w="5058"/>
        <w:gridCol w:w="3378"/>
        <w:gridCol w:w="3048"/>
        <w:gridCol w:w="2291"/>
      </w:tblGrid>
      <w:tr>
        <w:trPr>
          <w:trHeight w:hRule="atLeast" w:val="683"/>
        </w:trPr>
        <w:tc>
          <w:tcPr>
            <w:tcW w:type="dxa" w:w="12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6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строки</w:t>
            </w:r>
          </w:p>
          <w:p w14:paraId="57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type="dxa" w:w="50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8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плановых мероприятий</w:t>
            </w:r>
          </w:p>
        </w:tc>
        <w:tc>
          <w:tcPr>
            <w:tcW w:type="dxa" w:w="64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9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2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A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процент выполнения </w:t>
            </w:r>
          </w:p>
        </w:tc>
      </w:tr>
      <w:tr>
        <w:trPr>
          <w:trHeight w:hRule="atLeast" w:val="492"/>
        </w:trPr>
        <w:tc>
          <w:tcPr>
            <w:tcW w:type="dxa" w:w="1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50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  <w:tc>
          <w:tcPr>
            <w:tcW w:type="dxa" w:w="337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планируемое </w:t>
            </w:r>
          </w:p>
          <w:p w14:paraId="5C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текущий год</w:t>
            </w:r>
          </w:p>
        </w:tc>
        <w:tc>
          <w:tcPr>
            <w:tcW w:type="dxa" w:w="30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фактическое </w:t>
            </w:r>
          </w:p>
          <w:p w14:paraId="5E00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отчетный период</w:t>
            </w:r>
          </w:p>
        </w:tc>
        <w:tc>
          <w:tcPr>
            <w:tcW w:type="dxa" w:w="2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12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0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7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«Развитие физической культуры и спорта»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29 480,8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13 967,2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47,4</w:t>
            </w:r>
          </w:p>
        </w:tc>
      </w:tr>
      <w:tr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«Развитие объектов физической культуры и спорта»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9 200,0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63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3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3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38 680,8</w:t>
            </w:r>
          </w:p>
        </w:tc>
        <w:tc>
          <w:tcPr>
            <w:tcW w:type="dxa" w:w="3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13 967,2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36,1</w:t>
            </w:r>
          </w:p>
        </w:tc>
      </w:tr>
    </w:tbl>
    <w:p w14:paraId="72000000">
      <w:pPr>
        <w:spacing w:line="276" w:lineRule="auto"/>
        <w:ind w:firstLine="567" w:left="0"/>
        <w:jc w:val="both"/>
        <w:rPr>
          <w:sz w:val="23"/>
        </w:rPr>
      </w:pPr>
    </w:p>
    <w:sectPr>
      <w:pgSz w:h="11907" w:orient="landscape" w:w="16840"/>
      <w:pgMar w:bottom="567" w:footer="709" w:gutter="0" w:header="567" w:left="1134" w:right="567" w:top="568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ekstob"/>
    <w:basedOn w:val="Style_4"/>
    <w:link w:val="Style_6_ch"/>
    <w:pPr>
      <w:spacing w:afterAutospacing="on" w:beforeAutospacing="on"/>
      <w:ind/>
    </w:pPr>
    <w:rPr>
      <w:sz w:val="24"/>
    </w:rPr>
  </w:style>
  <w:style w:styleId="Style_6_ch" w:type="character">
    <w:name w:val="tekstob"/>
    <w:basedOn w:val="Style_4_ch"/>
    <w:link w:val="Style_6"/>
    <w:rPr>
      <w:sz w:val="24"/>
    </w:rPr>
  </w:style>
  <w:style w:styleId="Style_7" w:type="paragraph">
    <w:name w:val="fontstyle13"/>
    <w:link w:val="Style_7_ch"/>
  </w:style>
  <w:style w:styleId="Style_7_ch" w:type="character">
    <w:name w:val="fontstyle13"/>
    <w:link w:val="Style_7"/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"/>
    <w:basedOn w:val="Style_4"/>
    <w:link w:val="Style_9_ch"/>
    <w:pPr>
      <w:ind/>
      <w:jc w:val="both"/>
    </w:pPr>
    <w:rPr>
      <w:sz w:val="22"/>
    </w:rPr>
  </w:style>
  <w:style w:styleId="Style_9_ch" w:type="character">
    <w:name w:val="Body Text"/>
    <w:basedOn w:val="Style_4_ch"/>
    <w:link w:val="Style_9"/>
    <w:rPr>
      <w:sz w:val="22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page number"/>
    <w:basedOn w:val="Style_13"/>
    <w:link w:val="Style_12_ch"/>
  </w:style>
  <w:style w:styleId="Style_12_ch" w:type="character">
    <w:name w:val="page number"/>
    <w:basedOn w:val="Style_13_ch"/>
    <w:link w:val="Style_12"/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fontstyle11"/>
    <w:link w:val="Style_16_ch"/>
  </w:style>
  <w:style w:styleId="Style_16_ch" w:type="character">
    <w:name w:val="fontstyle11"/>
    <w:link w:val="Style_16"/>
  </w:style>
  <w:style w:styleId="Style_17" w:type="paragraph">
    <w:name w:val="fontstyle15"/>
    <w:link w:val="Style_17_ch"/>
  </w:style>
  <w:style w:styleId="Style_17_ch" w:type="character">
    <w:name w:val="fontstyle15"/>
    <w:link w:val="Style_17"/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4_ch"/>
    <w:link w:val="Style_18"/>
  </w:style>
  <w:style w:styleId="Style_19" w:type="paragraph">
    <w:name w:val="ConsPlu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Nonformat"/>
    <w:link w:val="Style_19"/>
    <w:rPr>
      <w:rFonts w:ascii="Courier New" w:hAnsi="Courier New"/>
    </w:rPr>
  </w:style>
  <w:style w:styleId="Style_20" w:type="paragraph">
    <w:name w:val="style6"/>
    <w:basedOn w:val="Style_4"/>
    <w:link w:val="Style_20_ch"/>
    <w:pPr>
      <w:spacing w:afterAutospacing="on" w:beforeAutospacing="on"/>
      <w:ind/>
    </w:pPr>
    <w:rPr>
      <w:sz w:val="24"/>
    </w:rPr>
  </w:style>
  <w:style w:styleId="Style_20_ch" w:type="character">
    <w:name w:val="style6"/>
    <w:basedOn w:val="Style_4_ch"/>
    <w:link w:val="Style_20"/>
    <w:rPr>
      <w:sz w:val="24"/>
    </w:rPr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Normal_0"/>
    <w:link w:val="Style_22_ch"/>
  </w:style>
  <w:style w:styleId="Style_22_ch" w:type="character">
    <w:name w:val="Normal_0"/>
    <w:link w:val="Style_22"/>
  </w:style>
  <w:style w:styleId="Style_23" w:type="paragraph">
    <w:name w:val="заголовок 1"/>
    <w:basedOn w:val="Style_4"/>
    <w:next w:val="Style_4"/>
    <w:link w:val="Style_23_ch"/>
    <w:pPr>
      <w:keepNext w:val="1"/>
      <w:ind/>
      <w:jc w:val="both"/>
      <w:outlineLvl w:val="0"/>
    </w:pPr>
    <w:rPr>
      <w:sz w:val="24"/>
    </w:rPr>
  </w:style>
  <w:style w:styleId="Style_23_ch" w:type="character">
    <w:name w:val="заголовок 1"/>
    <w:basedOn w:val="Style_4_ch"/>
    <w:link w:val="Style_23"/>
    <w:rPr>
      <w:sz w:val="24"/>
    </w:rPr>
  </w:style>
  <w:style w:styleId="Style_24" w:type="paragraph">
    <w:name w:val="fontstyle12"/>
    <w:link w:val="Style_24_ch"/>
  </w:style>
  <w:style w:styleId="Style_24_ch" w:type="character">
    <w:name w:val="fontstyle12"/>
    <w:link w:val="Style_24"/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4"/>
    <w:next w:val="Style_4"/>
    <w:link w:val="Style_26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6_ch" w:type="character">
    <w:name w:val="heading 1"/>
    <w:basedOn w:val="Style_4_ch"/>
    <w:link w:val="Style_26"/>
    <w:rPr>
      <w:b w:val="1"/>
      <w:sz w:val="26"/>
    </w:rPr>
  </w:style>
  <w:style w:styleId="Style_27" w:type="paragraph">
    <w:name w:val="style4"/>
    <w:basedOn w:val="Style_4"/>
    <w:link w:val="Style_27_ch"/>
    <w:pPr>
      <w:spacing w:afterAutospacing="on" w:beforeAutospacing="on"/>
      <w:ind/>
    </w:pPr>
    <w:rPr>
      <w:sz w:val="24"/>
    </w:rPr>
  </w:style>
  <w:style w:styleId="Style_27_ch" w:type="character">
    <w:name w:val="style4"/>
    <w:basedOn w:val="Style_4_ch"/>
    <w:link w:val="Style_27"/>
    <w:rPr>
      <w:sz w:val="24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apple-converted-space"/>
    <w:link w:val="Style_31_ch"/>
  </w:style>
  <w:style w:styleId="Style_31_ch" w:type="character">
    <w:name w:val="apple-converted-space"/>
    <w:link w:val="Style_31"/>
  </w:style>
  <w:style w:styleId="Style_32" w:type="paragraph">
    <w:name w:val="Emphasis"/>
    <w:link w:val="Style_32_ch"/>
    <w:rPr>
      <w:i w:val="1"/>
    </w:rPr>
  </w:style>
  <w:style w:styleId="Style_32_ch" w:type="character">
    <w:name w:val="Emphasis"/>
    <w:link w:val="Style_32"/>
    <w:rPr>
      <w:i w:val="1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4" w:type="paragraph">
    <w:name w:val="Normal (Web)"/>
    <w:basedOn w:val="Style_4"/>
    <w:link w:val="Style_34_ch"/>
    <w:pPr>
      <w:spacing w:afterAutospacing="on" w:beforeAutospacing="on"/>
      <w:ind/>
    </w:pPr>
    <w:rPr>
      <w:sz w:val="24"/>
    </w:rPr>
  </w:style>
  <w:style w:styleId="Style_34_ch" w:type="character">
    <w:name w:val="Normal (Web)"/>
    <w:basedOn w:val="Style_4_ch"/>
    <w:link w:val="Style_34"/>
    <w:rPr>
      <w:sz w:val="24"/>
    </w:rPr>
  </w:style>
  <w:style w:styleId="Style_35" w:type="paragraph">
    <w:name w:val="toc 9"/>
    <w:next w:val="Style_4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style8"/>
    <w:basedOn w:val="Style_4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style8"/>
    <w:basedOn w:val="Style_4_ch"/>
    <w:link w:val="Style_36"/>
    <w:rPr>
      <w:sz w:val="24"/>
    </w:rPr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38" w:type="paragraph">
    <w:name w:val="Balloon Text"/>
    <w:basedOn w:val="Style_4"/>
    <w:link w:val="Style_38_ch"/>
    <w:rPr>
      <w:rFonts w:ascii="Tahoma" w:hAnsi="Tahoma"/>
      <w:sz w:val="16"/>
    </w:rPr>
  </w:style>
  <w:style w:styleId="Style_38_ch" w:type="character">
    <w:name w:val="Balloon Text"/>
    <w:basedOn w:val="Style_4_ch"/>
    <w:link w:val="Style_38"/>
    <w:rPr>
      <w:rFonts w:ascii="Tahoma" w:hAnsi="Tahoma"/>
      <w:sz w:val="16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1" w:type="paragraph">
    <w:name w:val="List Paragraph"/>
    <w:basedOn w:val="Style_4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4_ch"/>
    <w:link w:val="Style_1"/>
    <w:rPr>
      <w:rFonts w:ascii="Calibri" w:hAnsi="Calibri"/>
      <w:sz w:val="22"/>
    </w:rPr>
  </w:style>
  <w:style w:styleId="Style_40" w:type="paragraph">
    <w:name w:val="Subtitle"/>
    <w:next w:val="Style_4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basedOn w:val="Style_4"/>
    <w:link w:val="Style_41_ch"/>
    <w:uiPriority w:val="10"/>
    <w:qFormat/>
    <w:pPr>
      <w:ind/>
      <w:jc w:val="center"/>
    </w:pPr>
    <w:rPr>
      <w:sz w:val="28"/>
    </w:rPr>
  </w:style>
  <w:style w:styleId="Style_41_ch" w:type="character">
    <w:name w:val="Title"/>
    <w:basedOn w:val="Style_4_ch"/>
    <w:link w:val="Style_41"/>
    <w:rPr>
      <w:sz w:val="28"/>
    </w:rPr>
  </w:style>
  <w:style w:styleId="Style_42" w:type="paragraph">
    <w:name w:val="heading 4"/>
    <w:next w:val="Style_4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ConsPlusNormal"/>
    <w:link w:val="Style_43_ch"/>
    <w:pPr>
      <w:widowControl w:val="0"/>
      <w:ind w:firstLine="720" w:left="0"/>
    </w:pPr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styleId="Style_44" w:type="paragraph">
    <w:name w:val="heading 2"/>
    <w:next w:val="Style_4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Основной шрифт"/>
    <w:link w:val="Style_45_ch"/>
  </w:style>
  <w:style w:styleId="Style_45_ch" w:type="character">
    <w:name w:val="Основной шрифт"/>
    <w:link w:val="Style_45"/>
  </w:style>
  <w:style w:styleId="Style_46" w:type="paragraph">
    <w:name w:val="style5"/>
    <w:basedOn w:val="Style_4"/>
    <w:link w:val="Style_46_ch"/>
    <w:pPr>
      <w:spacing w:afterAutospacing="on" w:beforeAutospacing="on"/>
      <w:ind/>
    </w:pPr>
    <w:rPr>
      <w:sz w:val="24"/>
    </w:rPr>
  </w:style>
  <w:style w:styleId="Style_46_ch" w:type="character">
    <w:name w:val="style5"/>
    <w:basedOn w:val="Style_4_ch"/>
    <w:link w:val="Style_46"/>
    <w:rPr>
      <w:sz w:val="24"/>
    </w:rPr>
  </w:style>
  <w:style w:styleId="Style_47" w:type="paragraph">
    <w:name w:val="header"/>
    <w:basedOn w:val="Style_4"/>
    <w:link w:val="Style_47_ch"/>
    <w:pPr>
      <w:tabs>
        <w:tab w:leader="none" w:pos="4536" w:val="center"/>
        <w:tab w:leader="none" w:pos="9072" w:val="right"/>
      </w:tabs>
      <w:ind/>
    </w:pPr>
  </w:style>
  <w:style w:styleId="Style_47_ch" w:type="character">
    <w:name w:val="header"/>
    <w:basedOn w:val="Style_4_ch"/>
    <w:link w:val="Style_47"/>
  </w:style>
  <w:style w:styleId="Style_4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2025-10-10T13:33:31Z</dcterms:modified>
</cp:coreProperties>
</file>